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77" w:rsidRPr="00B535EE" w:rsidRDefault="001B2177" w:rsidP="00B535EE">
      <w:pPr>
        <w:pStyle w:val="a3"/>
        <w:rPr>
          <w:rFonts w:ascii="Times New Roman" w:hAnsi="Times New Roman"/>
          <w:sz w:val="24"/>
          <w:szCs w:val="24"/>
        </w:rPr>
      </w:pPr>
      <w:bookmarkStart w:id="0" w:name="_Toc466834395"/>
      <w:bookmarkStart w:id="1" w:name="_Toc466835069"/>
      <w:r w:rsidRPr="00B535EE">
        <w:rPr>
          <w:rFonts w:ascii="Times New Roman" w:hAnsi="Times New Roman"/>
          <w:sz w:val="24"/>
          <w:szCs w:val="24"/>
        </w:rPr>
        <w:t>РЕЗЮМЕ</w:t>
      </w:r>
      <w:bookmarkEnd w:id="0"/>
      <w:bookmarkEnd w:id="1"/>
    </w:p>
    <w:p w:rsidR="001B2177" w:rsidRPr="00B535EE" w:rsidRDefault="00894DCC" w:rsidP="00894DCC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итогам </w:t>
      </w:r>
      <w:r w:rsidR="001B2177" w:rsidRPr="00B535EE">
        <w:rPr>
          <w:rFonts w:ascii="Times New Roman" w:hAnsi="Times New Roman"/>
          <w:b/>
          <w:sz w:val="24"/>
          <w:szCs w:val="24"/>
        </w:rPr>
        <w:t>анализа результатов независимой оценки качества образования дошкольных образовательных учреждений</w:t>
      </w:r>
      <w:r w:rsidR="00E331B4" w:rsidRPr="00B535EE">
        <w:rPr>
          <w:rFonts w:ascii="Times New Roman" w:hAnsi="Times New Roman"/>
          <w:b/>
          <w:sz w:val="24"/>
          <w:szCs w:val="24"/>
        </w:rPr>
        <w:t xml:space="preserve"> Нытвенского района</w:t>
      </w:r>
    </w:p>
    <w:p w:rsidR="001B2177" w:rsidRPr="00B535EE" w:rsidRDefault="001B2177" w:rsidP="00894DCC">
      <w:pPr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2177" w:rsidRPr="00B535EE" w:rsidRDefault="001B2177" w:rsidP="00B535EE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sz w:val="24"/>
          <w:szCs w:val="24"/>
        </w:rPr>
        <w:t xml:space="preserve">В ходе проведения независимой оценки качества образования дошкольных учреждений было оценено 631 учреждение из всех муниципальных районов региона, в их число попали и 23 дошкольных учреждения Нытвенского района. </w:t>
      </w:r>
    </w:p>
    <w:p w:rsidR="001B2177" w:rsidRPr="00B535EE" w:rsidRDefault="001B2177" w:rsidP="00B535EE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sz w:val="24"/>
          <w:szCs w:val="24"/>
        </w:rPr>
        <w:t xml:space="preserve">1. Максимальная оценка, которую могло получить любое ДОУ, составляет 160 баллов. </w:t>
      </w:r>
      <w:r w:rsidR="00933A02" w:rsidRPr="00B535EE">
        <w:rPr>
          <w:rFonts w:ascii="Times New Roman" w:hAnsi="Times New Roman"/>
          <w:sz w:val="24"/>
          <w:szCs w:val="24"/>
        </w:rPr>
        <w:t xml:space="preserve">У нас лидером стал детский сад «Малышок», набравший 127 баллов. Это 80%  </w:t>
      </w:r>
      <w:r w:rsidRPr="00B535EE">
        <w:rPr>
          <w:rFonts w:ascii="Times New Roman" w:hAnsi="Times New Roman"/>
          <w:sz w:val="24"/>
          <w:szCs w:val="24"/>
        </w:rPr>
        <w:t xml:space="preserve">от максимально возможной оценки, что является достаточно высоким результатом. </w:t>
      </w:r>
    </w:p>
    <w:p w:rsidR="00933A02" w:rsidRPr="00B535EE" w:rsidRDefault="001B2177" w:rsidP="00B535EE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sz w:val="24"/>
          <w:szCs w:val="24"/>
        </w:rPr>
        <w:t xml:space="preserve">2. В то же время </w:t>
      </w:r>
      <w:r w:rsidR="00933A02" w:rsidRPr="00B535EE">
        <w:rPr>
          <w:rFonts w:ascii="Times New Roman" w:hAnsi="Times New Roman"/>
          <w:sz w:val="24"/>
          <w:szCs w:val="24"/>
        </w:rPr>
        <w:t xml:space="preserve"> наименьшее число 87 баллов набрали детские сады п Уральский , с Покровское и ст Григорьевская в виду того, что не открылись у них сайты учреждений.</w:t>
      </w:r>
    </w:p>
    <w:p w:rsidR="00933A02" w:rsidRPr="00B535EE" w:rsidRDefault="001B2177" w:rsidP="00B535EE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sz w:val="24"/>
          <w:szCs w:val="24"/>
        </w:rPr>
        <w:t xml:space="preserve">Процедура независимой оценки ДОУ учитывала 16 больших  показателей качества образовательной деятельности, объединенных в  4 группы (с неравным количеством показателей внутри). </w:t>
      </w:r>
    </w:p>
    <w:p w:rsidR="001B2177" w:rsidRPr="00B535EE" w:rsidRDefault="001B2177" w:rsidP="00B535EE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sz w:val="24"/>
          <w:szCs w:val="24"/>
        </w:rPr>
        <w:t xml:space="preserve">Самые высокие оценки дошкольные учреждения заработали по группе </w:t>
      </w:r>
      <w:r w:rsidRPr="00B535EE">
        <w:rPr>
          <w:rFonts w:ascii="Times New Roman" w:hAnsi="Times New Roman"/>
          <w:i/>
          <w:sz w:val="24"/>
          <w:szCs w:val="24"/>
        </w:rPr>
        <w:t>показателей– вежливость и компетентность сотрудников</w:t>
      </w:r>
      <w:r w:rsidRPr="00B535EE">
        <w:rPr>
          <w:rFonts w:ascii="Times New Roman" w:hAnsi="Times New Roman"/>
          <w:sz w:val="24"/>
          <w:szCs w:val="24"/>
        </w:rPr>
        <w:t xml:space="preserve">. На втором месте – группа показателей  </w:t>
      </w:r>
      <w:r w:rsidRPr="00C03FE0">
        <w:rPr>
          <w:rFonts w:ascii="Times New Roman" w:hAnsi="Times New Roman"/>
          <w:i/>
          <w:sz w:val="24"/>
          <w:szCs w:val="24"/>
        </w:rPr>
        <w:t>– удовлетворенность качеством образования</w:t>
      </w:r>
      <w:r w:rsidRPr="00B535EE">
        <w:rPr>
          <w:rFonts w:ascii="Times New Roman" w:hAnsi="Times New Roman"/>
          <w:sz w:val="24"/>
          <w:szCs w:val="24"/>
        </w:rPr>
        <w:t xml:space="preserve">. В обеих группах средний балл очень близок к максимально возможному. Что характерно - обе группы показателей оценивались целиком по опросу родителей. </w:t>
      </w:r>
    </w:p>
    <w:p w:rsidR="006B699E" w:rsidRPr="00B535EE" w:rsidRDefault="0072623D" w:rsidP="00B535EE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</w:t>
      </w:r>
      <w:r w:rsidR="001B2177" w:rsidRPr="00B535EE">
        <w:rPr>
          <w:rFonts w:ascii="Times New Roman" w:hAnsi="Times New Roman"/>
          <w:i/>
          <w:sz w:val="24"/>
          <w:szCs w:val="24"/>
        </w:rPr>
        <w:t>групп</w:t>
      </w:r>
      <w:r>
        <w:rPr>
          <w:rFonts w:ascii="Times New Roman" w:hAnsi="Times New Roman"/>
          <w:i/>
          <w:sz w:val="24"/>
          <w:szCs w:val="24"/>
        </w:rPr>
        <w:t xml:space="preserve">е показателей </w:t>
      </w:r>
      <w:r w:rsidR="001B2177" w:rsidRPr="00B535EE">
        <w:rPr>
          <w:rFonts w:ascii="Times New Roman" w:hAnsi="Times New Roman"/>
          <w:i/>
          <w:sz w:val="24"/>
          <w:szCs w:val="24"/>
        </w:rPr>
        <w:t xml:space="preserve"> – комфортность условий</w:t>
      </w:r>
      <w:r w:rsidR="001B2177" w:rsidRPr="00B535EE">
        <w:rPr>
          <w:rFonts w:ascii="Times New Roman" w:hAnsi="Times New Roman"/>
          <w:sz w:val="24"/>
          <w:szCs w:val="24"/>
        </w:rPr>
        <w:t>. Тут средние оценки снижаются. Особенно велика разница по показателю</w:t>
      </w:r>
      <w:r w:rsidR="001B2177" w:rsidRPr="00C03FE0">
        <w:rPr>
          <w:rFonts w:ascii="Times New Roman" w:hAnsi="Times New Roman"/>
          <w:i/>
          <w:sz w:val="24"/>
          <w:szCs w:val="24"/>
        </w:rPr>
        <w:t xml:space="preserve">– </w:t>
      </w:r>
      <w:r w:rsidR="006B699E" w:rsidRPr="00C03FE0">
        <w:rPr>
          <w:rFonts w:ascii="Times New Roman" w:hAnsi="Times New Roman"/>
          <w:i/>
          <w:sz w:val="24"/>
          <w:szCs w:val="24"/>
        </w:rPr>
        <w:t>наличие возможности оказания психолого-педагогической  и социальной помощи обучающимся.</w:t>
      </w:r>
      <w:r w:rsidR="006B699E" w:rsidRPr="00B535EE">
        <w:rPr>
          <w:rFonts w:ascii="Times New Roman" w:hAnsi="Times New Roman"/>
          <w:sz w:val="24"/>
          <w:szCs w:val="24"/>
        </w:rPr>
        <w:t xml:space="preserve"> Половина  детских садов </w:t>
      </w:r>
      <w:r w:rsidR="00C03FE0">
        <w:rPr>
          <w:rFonts w:ascii="Times New Roman" w:hAnsi="Times New Roman"/>
          <w:sz w:val="24"/>
          <w:szCs w:val="24"/>
        </w:rPr>
        <w:t xml:space="preserve">района </w:t>
      </w:r>
      <w:r w:rsidR="006B699E" w:rsidRPr="00B535EE">
        <w:rPr>
          <w:rFonts w:ascii="Times New Roman" w:hAnsi="Times New Roman"/>
          <w:sz w:val="24"/>
          <w:szCs w:val="24"/>
        </w:rPr>
        <w:t xml:space="preserve">показали </w:t>
      </w:r>
      <w:r w:rsidR="0074632E" w:rsidRPr="00B535EE">
        <w:rPr>
          <w:rFonts w:ascii="Times New Roman" w:hAnsi="Times New Roman"/>
          <w:sz w:val="24"/>
          <w:szCs w:val="24"/>
        </w:rPr>
        <w:t xml:space="preserve">только </w:t>
      </w:r>
      <w:r w:rsidR="006B699E" w:rsidRPr="00B535EE">
        <w:rPr>
          <w:rFonts w:ascii="Times New Roman" w:hAnsi="Times New Roman"/>
          <w:sz w:val="24"/>
          <w:szCs w:val="24"/>
        </w:rPr>
        <w:t>50%</w:t>
      </w:r>
      <w:r w:rsidR="0074632E" w:rsidRPr="00B535EE">
        <w:rPr>
          <w:rFonts w:ascii="Times New Roman" w:hAnsi="Times New Roman"/>
          <w:sz w:val="24"/>
          <w:szCs w:val="24"/>
        </w:rPr>
        <w:t>, остальные ниже</w:t>
      </w:r>
      <w:r w:rsidR="006B699E" w:rsidRPr="00B535EE">
        <w:rPr>
          <w:rFonts w:ascii="Times New Roman" w:hAnsi="Times New Roman"/>
          <w:sz w:val="24"/>
          <w:szCs w:val="24"/>
        </w:rPr>
        <w:t xml:space="preserve"> .</w:t>
      </w:r>
    </w:p>
    <w:p w:rsidR="001B2177" w:rsidRPr="00B535EE" w:rsidRDefault="006B699E" w:rsidP="00B535EE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sz w:val="24"/>
          <w:szCs w:val="24"/>
        </w:rPr>
        <w:t xml:space="preserve"> </w:t>
      </w:r>
      <w:r w:rsidR="001B2177" w:rsidRPr="00B535EE">
        <w:rPr>
          <w:rFonts w:ascii="Times New Roman" w:hAnsi="Times New Roman"/>
          <w:sz w:val="24"/>
          <w:szCs w:val="24"/>
        </w:rPr>
        <w:t xml:space="preserve">И на последнем месте по выполнению находится группа показателей  – </w:t>
      </w:r>
      <w:r w:rsidR="001B2177" w:rsidRPr="00B535EE">
        <w:rPr>
          <w:rFonts w:ascii="Times New Roman" w:hAnsi="Times New Roman"/>
          <w:i/>
          <w:sz w:val="24"/>
          <w:szCs w:val="24"/>
        </w:rPr>
        <w:t>открытость и доступность информации о ДОУ</w:t>
      </w:r>
      <w:r w:rsidR="001B2177" w:rsidRPr="00B535EE">
        <w:rPr>
          <w:rFonts w:ascii="Times New Roman" w:hAnsi="Times New Roman"/>
          <w:sz w:val="24"/>
          <w:szCs w:val="24"/>
        </w:rPr>
        <w:t xml:space="preserve">. Мало того, что средняя оценка по всей группе тут составляет всего 4,85 балла, но в этой группе также находится и показатель, который не выполняется подавляющим большинством ДОУ – </w:t>
      </w:r>
      <w:r w:rsidR="0072623D">
        <w:rPr>
          <w:rFonts w:ascii="Times New Roman" w:hAnsi="Times New Roman"/>
          <w:sz w:val="24"/>
          <w:szCs w:val="24"/>
        </w:rPr>
        <w:t>н</w:t>
      </w:r>
      <w:r w:rsidR="001B2177" w:rsidRPr="00C03FE0">
        <w:rPr>
          <w:rFonts w:ascii="Times New Roman" w:hAnsi="Times New Roman"/>
          <w:i/>
          <w:sz w:val="24"/>
          <w:szCs w:val="24"/>
        </w:rPr>
        <w:t>аличие на сайте ДОУ сведений об обращении потребителей.</w:t>
      </w:r>
      <w:r w:rsidR="001B2177" w:rsidRPr="00B535EE">
        <w:rPr>
          <w:rFonts w:ascii="Times New Roman" w:hAnsi="Times New Roman"/>
          <w:sz w:val="24"/>
          <w:szCs w:val="24"/>
        </w:rPr>
        <w:t xml:space="preserve"> Тут средняя оценка </w:t>
      </w:r>
      <w:r w:rsidR="0074632E" w:rsidRPr="00B535EE">
        <w:rPr>
          <w:rFonts w:ascii="Times New Roman" w:hAnsi="Times New Roman"/>
          <w:sz w:val="24"/>
          <w:szCs w:val="24"/>
        </w:rPr>
        <w:t xml:space="preserve">у нас </w:t>
      </w:r>
      <w:r w:rsidR="001B2177" w:rsidRPr="00B535EE">
        <w:rPr>
          <w:rFonts w:ascii="Times New Roman" w:hAnsi="Times New Roman"/>
          <w:sz w:val="24"/>
          <w:szCs w:val="24"/>
        </w:rPr>
        <w:t>всего 0 балл</w:t>
      </w:r>
      <w:r w:rsidRPr="00B535EE">
        <w:rPr>
          <w:rFonts w:ascii="Times New Roman" w:hAnsi="Times New Roman"/>
          <w:sz w:val="24"/>
          <w:szCs w:val="24"/>
        </w:rPr>
        <w:t>ов</w:t>
      </w:r>
      <w:r w:rsidR="001B2177" w:rsidRPr="00B535EE">
        <w:rPr>
          <w:rFonts w:ascii="Times New Roman" w:hAnsi="Times New Roman"/>
          <w:sz w:val="24"/>
          <w:szCs w:val="24"/>
        </w:rPr>
        <w:t xml:space="preserve">. </w:t>
      </w:r>
    </w:p>
    <w:p w:rsidR="000E10A2" w:rsidRDefault="001B2177" w:rsidP="00B535EE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sz w:val="24"/>
          <w:szCs w:val="24"/>
        </w:rPr>
        <w:t xml:space="preserve">. </w:t>
      </w:r>
      <w:r w:rsidRPr="00B535EE">
        <w:rPr>
          <w:rFonts w:ascii="Times New Roman" w:hAnsi="Times New Roman"/>
          <w:b/>
          <w:sz w:val="24"/>
          <w:szCs w:val="24"/>
        </w:rPr>
        <w:t>Рисунок</w:t>
      </w:r>
      <w:proofErr w:type="gramStart"/>
      <w:r w:rsidRPr="00B535EE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B535EE">
        <w:rPr>
          <w:rFonts w:ascii="Times New Roman" w:hAnsi="Times New Roman"/>
          <w:sz w:val="24"/>
          <w:szCs w:val="24"/>
        </w:rPr>
        <w:t xml:space="preserve"> Муниципальные ДОУ</w:t>
      </w:r>
      <w:r w:rsidR="0074632E" w:rsidRPr="00B535EE">
        <w:rPr>
          <w:rFonts w:ascii="Times New Roman" w:hAnsi="Times New Roman"/>
          <w:sz w:val="24"/>
          <w:szCs w:val="24"/>
        </w:rPr>
        <w:t xml:space="preserve">, </w:t>
      </w:r>
      <w:r w:rsidR="00317C1C">
        <w:rPr>
          <w:rFonts w:ascii="Times New Roman" w:hAnsi="Times New Roman"/>
          <w:sz w:val="24"/>
          <w:szCs w:val="24"/>
        </w:rPr>
        <w:t xml:space="preserve">набравшие </w:t>
      </w:r>
      <w:r w:rsidRPr="00B535EE">
        <w:rPr>
          <w:rFonts w:ascii="Times New Roman" w:hAnsi="Times New Roman"/>
          <w:sz w:val="24"/>
          <w:szCs w:val="24"/>
        </w:rPr>
        <w:t xml:space="preserve">количество баллов по всем показателям </w:t>
      </w:r>
      <w:r w:rsidR="00E331B4" w:rsidRPr="00B535EE">
        <w:rPr>
          <w:rFonts w:ascii="Times New Roman" w:hAnsi="Times New Roman"/>
          <w:sz w:val="24"/>
          <w:szCs w:val="24"/>
        </w:rPr>
        <w:t>100 и более</w:t>
      </w:r>
    </w:p>
    <w:p w:rsidR="000E10A2" w:rsidRDefault="000E10A2" w:rsidP="00B535EE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B535EE" w:rsidRPr="00B535EE" w:rsidRDefault="00B535EE" w:rsidP="00B535EE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095625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B2177" w:rsidRPr="00B535EE" w:rsidRDefault="001B2177" w:rsidP="00B535EE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74632E" w:rsidRPr="00B535EE" w:rsidRDefault="001B2177" w:rsidP="00B535EE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sz w:val="24"/>
          <w:szCs w:val="24"/>
        </w:rPr>
        <w:tab/>
      </w:r>
    </w:p>
    <w:p w:rsidR="0074632E" w:rsidRPr="00B535EE" w:rsidRDefault="0074632E" w:rsidP="00B535EE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1B2177" w:rsidRPr="00035557" w:rsidRDefault="001B2177" w:rsidP="000E10A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5557">
        <w:rPr>
          <w:rFonts w:ascii="Times New Roman" w:hAnsi="Times New Roman"/>
          <w:sz w:val="24"/>
          <w:szCs w:val="24"/>
        </w:rPr>
        <w:t xml:space="preserve">Основные рекомендации </w:t>
      </w:r>
      <w:r w:rsidR="0074632E" w:rsidRPr="00035557">
        <w:rPr>
          <w:rFonts w:ascii="Times New Roman" w:hAnsi="Times New Roman"/>
          <w:sz w:val="24"/>
          <w:szCs w:val="24"/>
        </w:rPr>
        <w:t xml:space="preserve">независимой </w:t>
      </w:r>
      <w:r w:rsidR="00E331B4" w:rsidRPr="00035557">
        <w:rPr>
          <w:rFonts w:ascii="Times New Roman" w:hAnsi="Times New Roman"/>
          <w:sz w:val="24"/>
          <w:szCs w:val="24"/>
        </w:rPr>
        <w:t>комиссии</w:t>
      </w:r>
      <w:r w:rsidR="0074632E" w:rsidRPr="00035557">
        <w:rPr>
          <w:rFonts w:ascii="Times New Roman" w:hAnsi="Times New Roman"/>
          <w:sz w:val="24"/>
          <w:szCs w:val="24"/>
        </w:rPr>
        <w:t xml:space="preserve"> Пермского края </w:t>
      </w:r>
      <w:r w:rsidR="00E331B4" w:rsidRPr="00035557">
        <w:rPr>
          <w:rFonts w:ascii="Times New Roman" w:hAnsi="Times New Roman"/>
          <w:sz w:val="24"/>
          <w:szCs w:val="24"/>
        </w:rPr>
        <w:t xml:space="preserve"> </w:t>
      </w:r>
      <w:r w:rsidRPr="00035557">
        <w:rPr>
          <w:rFonts w:ascii="Times New Roman" w:hAnsi="Times New Roman"/>
          <w:sz w:val="24"/>
          <w:szCs w:val="24"/>
        </w:rPr>
        <w:t>по итогам вытекают из</w:t>
      </w:r>
      <w:r w:rsidR="00035557" w:rsidRPr="00035557">
        <w:rPr>
          <w:rFonts w:ascii="Times New Roman" w:hAnsi="Times New Roman"/>
          <w:sz w:val="24"/>
          <w:szCs w:val="24"/>
        </w:rPr>
        <w:t xml:space="preserve"> результатов</w:t>
      </w:r>
      <w:r w:rsidRPr="00035557">
        <w:rPr>
          <w:rFonts w:ascii="Times New Roman" w:hAnsi="Times New Roman"/>
          <w:sz w:val="24"/>
          <w:szCs w:val="24"/>
        </w:rPr>
        <w:t>, приведенных выше.</w:t>
      </w:r>
    </w:p>
    <w:p w:rsidR="001B2177" w:rsidRPr="00035557" w:rsidRDefault="001B2177" w:rsidP="000E10A2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5557">
        <w:rPr>
          <w:rFonts w:ascii="Times New Roman" w:hAnsi="Times New Roman"/>
          <w:sz w:val="24"/>
          <w:szCs w:val="24"/>
        </w:rPr>
        <w:lastRenderedPageBreak/>
        <w:t>Прежде всего, для успешного выполнения показателей, предусмотренных процедурой независимой оценки качества образования, необходимо развивать и совершенствовать навыки работников ДОУ в области современных интернет</w:t>
      </w:r>
      <w:r w:rsidR="00035557" w:rsidRPr="00035557">
        <w:rPr>
          <w:rFonts w:ascii="Times New Roman" w:hAnsi="Times New Roman"/>
          <w:sz w:val="24"/>
          <w:szCs w:val="24"/>
        </w:rPr>
        <w:t xml:space="preserve"> </w:t>
      </w:r>
      <w:r w:rsidRPr="00035557">
        <w:rPr>
          <w:rFonts w:ascii="Times New Roman" w:hAnsi="Times New Roman"/>
          <w:sz w:val="24"/>
          <w:szCs w:val="24"/>
        </w:rPr>
        <w:t>-</w:t>
      </w:r>
      <w:r w:rsidR="00035557" w:rsidRPr="00035557">
        <w:rPr>
          <w:rFonts w:ascii="Times New Roman" w:hAnsi="Times New Roman"/>
          <w:sz w:val="24"/>
          <w:szCs w:val="24"/>
        </w:rPr>
        <w:t xml:space="preserve"> </w:t>
      </w:r>
      <w:r w:rsidRPr="00035557">
        <w:rPr>
          <w:rFonts w:ascii="Times New Roman" w:hAnsi="Times New Roman"/>
          <w:sz w:val="24"/>
          <w:szCs w:val="24"/>
        </w:rPr>
        <w:t>технологий. Речь тут  идет об элементарной компьютерной грамотности, позволяющей педагогам самостоятельно выходить в интернет-пространство для более успешной коммуникации с потребителями образовательных услуг.</w:t>
      </w:r>
    </w:p>
    <w:p w:rsidR="001B2177" w:rsidRPr="00035557" w:rsidRDefault="001B2177" w:rsidP="000E10A2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5557">
        <w:rPr>
          <w:rFonts w:ascii="Times New Roman" w:hAnsi="Times New Roman"/>
          <w:sz w:val="24"/>
          <w:szCs w:val="24"/>
        </w:rPr>
        <w:t xml:space="preserve">Далее, необходимо развивать навыки презентации и самопрезентации педагогов и сотрудников ДОУ. В настоящий момент здесь доминирует скорее формальный подход, при котором ДОУ стремятся скорее просто «выполнить требования», а не использовать современные коммуникационные технологии для повышения эффективности своей деятельности. </w:t>
      </w:r>
    </w:p>
    <w:p w:rsidR="001B2177" w:rsidRPr="00035557" w:rsidRDefault="001B2177" w:rsidP="000E10A2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5557">
        <w:rPr>
          <w:rFonts w:ascii="Times New Roman" w:hAnsi="Times New Roman"/>
          <w:sz w:val="24"/>
          <w:szCs w:val="24"/>
        </w:rPr>
        <w:t>Необходимо повышать мотивацию и развивать новые компетенции педагогов дошкольного образования в генерировании новых образовательных услуг и продуктов (помним – одни из самых проблемных показателей – развитие дополнительного образования и наличие услуг психолога и социального педагога в ДОУ).</w:t>
      </w:r>
    </w:p>
    <w:p w:rsidR="000E10A2" w:rsidRPr="00035557" w:rsidRDefault="001B2177" w:rsidP="000E10A2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5557">
        <w:rPr>
          <w:rFonts w:ascii="Times New Roman" w:hAnsi="Times New Roman"/>
          <w:sz w:val="24"/>
          <w:szCs w:val="24"/>
        </w:rPr>
        <w:t xml:space="preserve">Возможно, для развития мотивации к подобного рода деятельности потребуется не столько административное давление на работников, сколько организация действенной и практической помощи в таких направлениях, как маркетинг образовательных услуг, фандрайзинг, участие в грантовых конкурсах, в повышении правовой и финансовой грамотности. </w:t>
      </w:r>
    </w:p>
    <w:p w:rsidR="001B2177" w:rsidRPr="00035557" w:rsidRDefault="001B2177" w:rsidP="000E10A2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5557">
        <w:rPr>
          <w:rFonts w:ascii="Times New Roman" w:hAnsi="Times New Roman"/>
          <w:sz w:val="24"/>
          <w:szCs w:val="24"/>
        </w:rPr>
        <w:t xml:space="preserve">Для внедрения инклюзивного образования в дошкольные образовательные учреждения необходимо, разумеется, оказать материальную поддержку в создании беспрепятственной среды для детей с ОВЗ. Но одновременно  с этим необходимо помочь педагогам понять и принять принципы, лежащие в основе идеи инклюзии. Это можно было бы сделать через курсы повышения квалификации для педагогов ДОУ, через психологические игры и тренинги. </w:t>
      </w:r>
    </w:p>
    <w:p w:rsidR="00093D8F" w:rsidRDefault="00093D8F" w:rsidP="00B535EE">
      <w:pPr>
        <w:rPr>
          <w:rFonts w:ascii="Times New Roman" w:hAnsi="Times New Roman"/>
          <w:sz w:val="24"/>
          <w:szCs w:val="24"/>
        </w:rPr>
      </w:pPr>
    </w:p>
    <w:p w:rsidR="00D30D0B" w:rsidRPr="00035557" w:rsidRDefault="00D30D0B" w:rsidP="00894D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94DCC" w:rsidRPr="00D30D0B">
        <w:rPr>
          <w:rFonts w:ascii="Times New Roman" w:hAnsi="Times New Roman"/>
          <w:sz w:val="28"/>
          <w:szCs w:val="28"/>
        </w:rPr>
        <w:t xml:space="preserve">Из </w:t>
      </w:r>
      <w:r w:rsidR="00894DCC" w:rsidRPr="00035557">
        <w:rPr>
          <w:rFonts w:ascii="Times New Roman" w:hAnsi="Times New Roman"/>
          <w:sz w:val="24"/>
          <w:szCs w:val="24"/>
        </w:rPr>
        <w:t>вышесказанного</w:t>
      </w:r>
      <w:r w:rsidR="0072623D" w:rsidRPr="00035557">
        <w:rPr>
          <w:rFonts w:ascii="Times New Roman" w:hAnsi="Times New Roman"/>
          <w:sz w:val="24"/>
          <w:szCs w:val="24"/>
        </w:rPr>
        <w:t xml:space="preserve">  предложено</w:t>
      </w:r>
      <w:r w:rsidR="00220860" w:rsidRPr="00035557">
        <w:rPr>
          <w:rFonts w:ascii="Times New Roman" w:hAnsi="Times New Roman"/>
          <w:sz w:val="24"/>
          <w:szCs w:val="24"/>
        </w:rPr>
        <w:t xml:space="preserve">   дошкольным </w:t>
      </w:r>
      <w:r w:rsidR="00035557" w:rsidRPr="00035557">
        <w:rPr>
          <w:rFonts w:ascii="Times New Roman" w:hAnsi="Times New Roman"/>
          <w:sz w:val="24"/>
          <w:szCs w:val="24"/>
        </w:rPr>
        <w:t xml:space="preserve"> </w:t>
      </w:r>
      <w:r w:rsidR="00220860" w:rsidRPr="00035557">
        <w:rPr>
          <w:rFonts w:ascii="Times New Roman" w:hAnsi="Times New Roman"/>
          <w:sz w:val="24"/>
          <w:szCs w:val="24"/>
        </w:rPr>
        <w:t xml:space="preserve">учреждениям </w:t>
      </w:r>
      <w:r w:rsidR="00894DCC" w:rsidRPr="00035557">
        <w:rPr>
          <w:rFonts w:ascii="Times New Roman" w:hAnsi="Times New Roman"/>
          <w:sz w:val="24"/>
          <w:szCs w:val="24"/>
        </w:rPr>
        <w:t>пров</w:t>
      </w:r>
      <w:r w:rsidR="00220860" w:rsidRPr="00035557">
        <w:rPr>
          <w:rFonts w:ascii="Times New Roman" w:hAnsi="Times New Roman"/>
          <w:sz w:val="24"/>
          <w:szCs w:val="24"/>
        </w:rPr>
        <w:t xml:space="preserve">ести </w:t>
      </w:r>
      <w:r w:rsidR="00894DCC" w:rsidRPr="00035557">
        <w:rPr>
          <w:rFonts w:ascii="Times New Roman" w:hAnsi="Times New Roman"/>
          <w:sz w:val="24"/>
          <w:szCs w:val="24"/>
        </w:rPr>
        <w:t xml:space="preserve"> в марте-апреле 2017 года </w:t>
      </w:r>
      <w:r w:rsidR="00FF7D44" w:rsidRPr="00035557">
        <w:rPr>
          <w:rFonts w:ascii="Times New Roman" w:hAnsi="Times New Roman"/>
          <w:sz w:val="24"/>
          <w:szCs w:val="24"/>
        </w:rPr>
        <w:t xml:space="preserve">  </w:t>
      </w:r>
      <w:r w:rsidR="00894DCC" w:rsidRPr="00035557">
        <w:rPr>
          <w:rFonts w:ascii="Times New Roman" w:hAnsi="Times New Roman"/>
          <w:b/>
          <w:sz w:val="24"/>
          <w:szCs w:val="24"/>
        </w:rPr>
        <w:t>анализ независимой оценки качества образования</w:t>
      </w:r>
      <w:r w:rsidR="004500B0" w:rsidRPr="00035557">
        <w:rPr>
          <w:rFonts w:ascii="Times New Roman" w:hAnsi="Times New Roman"/>
          <w:b/>
          <w:sz w:val="24"/>
          <w:szCs w:val="24"/>
        </w:rPr>
        <w:t xml:space="preserve">  по результатам мониторинга</w:t>
      </w:r>
      <w:r w:rsidR="0072623D" w:rsidRPr="00035557">
        <w:rPr>
          <w:rFonts w:ascii="Times New Roman" w:hAnsi="Times New Roman"/>
          <w:b/>
          <w:sz w:val="24"/>
          <w:szCs w:val="24"/>
        </w:rPr>
        <w:t xml:space="preserve"> и сделать соответствующие выводы</w:t>
      </w:r>
      <w:r w:rsidR="004500B0" w:rsidRPr="00035557">
        <w:rPr>
          <w:rFonts w:ascii="Times New Roman" w:hAnsi="Times New Roman"/>
          <w:b/>
          <w:sz w:val="24"/>
          <w:szCs w:val="24"/>
        </w:rPr>
        <w:t>.</w:t>
      </w:r>
    </w:p>
    <w:p w:rsidR="00D30D0B" w:rsidRPr="00B535EE" w:rsidRDefault="00D30D0B" w:rsidP="00894DCC">
      <w:pPr>
        <w:rPr>
          <w:rFonts w:ascii="Times New Roman" w:hAnsi="Times New Roman"/>
          <w:b/>
          <w:sz w:val="24"/>
          <w:szCs w:val="24"/>
        </w:rPr>
      </w:pPr>
    </w:p>
    <w:p w:rsidR="000E10A2" w:rsidRDefault="000E10A2" w:rsidP="00B535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Долгих В.А. специалист</w:t>
      </w:r>
      <w:r w:rsidR="00726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2623D">
        <w:rPr>
          <w:rFonts w:ascii="Times New Roman" w:hAnsi="Times New Roman"/>
          <w:sz w:val="24"/>
          <w:szCs w:val="24"/>
        </w:rPr>
        <w:t xml:space="preserve">управления образования </w:t>
      </w:r>
    </w:p>
    <w:p w:rsidR="000E10A2" w:rsidRPr="00B535EE" w:rsidRDefault="00D30D0B" w:rsidP="00B535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 2017</w:t>
      </w:r>
      <w:r w:rsidR="000E10A2">
        <w:rPr>
          <w:rFonts w:ascii="Times New Roman" w:hAnsi="Times New Roman"/>
          <w:sz w:val="24"/>
          <w:szCs w:val="24"/>
        </w:rPr>
        <w:t xml:space="preserve">г </w:t>
      </w:r>
    </w:p>
    <w:sectPr w:rsidR="000E10A2" w:rsidRPr="00B535EE" w:rsidSect="00B535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C31"/>
    <w:multiLevelType w:val="hybridMultilevel"/>
    <w:tmpl w:val="D4C2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177"/>
    <w:rsid w:val="00035557"/>
    <w:rsid w:val="00093D8F"/>
    <w:rsid w:val="000E10A2"/>
    <w:rsid w:val="00131946"/>
    <w:rsid w:val="00192785"/>
    <w:rsid w:val="001B2177"/>
    <w:rsid w:val="001B7BEE"/>
    <w:rsid w:val="00220860"/>
    <w:rsid w:val="002C3C2E"/>
    <w:rsid w:val="00317C1C"/>
    <w:rsid w:val="004500B0"/>
    <w:rsid w:val="0053607B"/>
    <w:rsid w:val="006B699E"/>
    <w:rsid w:val="0072623D"/>
    <w:rsid w:val="0074632E"/>
    <w:rsid w:val="00894DCC"/>
    <w:rsid w:val="00933A02"/>
    <w:rsid w:val="00B2725B"/>
    <w:rsid w:val="00B535EE"/>
    <w:rsid w:val="00C03FE0"/>
    <w:rsid w:val="00D30D0B"/>
    <w:rsid w:val="00D8445B"/>
    <w:rsid w:val="00E331B4"/>
    <w:rsid w:val="00E722C3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7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217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B21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1B21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21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1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Малышок</c:v>
                </c:pt>
                <c:pt idx="1">
                  <c:v>№4 Нытва</c:v>
                </c:pt>
                <c:pt idx="2">
                  <c:v>№16 Нытва</c:v>
                </c:pt>
                <c:pt idx="3">
                  <c:v>Колосок</c:v>
                </c:pt>
                <c:pt idx="4">
                  <c:v>№13</c:v>
                </c:pt>
                <c:pt idx="5">
                  <c:v>Шерья</c:v>
                </c:pt>
                <c:pt idx="6">
                  <c:v>№12</c:v>
                </c:pt>
                <c:pt idx="7">
                  <c:v>№1 Нытва</c:v>
                </c:pt>
                <c:pt idx="8">
                  <c:v>№1 Новоильинский</c:v>
                </c:pt>
                <c:pt idx="9">
                  <c:v>№14</c:v>
                </c:pt>
                <c:pt idx="10">
                  <c:v>Мокино</c:v>
                </c:pt>
                <c:pt idx="11">
                  <c:v>Н-Гаревая</c:v>
                </c:pt>
                <c:pt idx="12">
                  <c:v>№7</c:v>
                </c:pt>
                <c:pt idx="13">
                  <c:v>Груни</c:v>
                </c:pt>
                <c:pt idx="14">
                  <c:v>Петушок с Григорьевское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127</c:v>
                </c:pt>
                <c:pt idx="1">
                  <c:v>123</c:v>
                </c:pt>
                <c:pt idx="2">
                  <c:v>121</c:v>
                </c:pt>
                <c:pt idx="3">
                  <c:v>121</c:v>
                </c:pt>
                <c:pt idx="4">
                  <c:v>120</c:v>
                </c:pt>
                <c:pt idx="5">
                  <c:v>118</c:v>
                </c:pt>
                <c:pt idx="6">
                  <c:v>117</c:v>
                </c:pt>
                <c:pt idx="7">
                  <c:v>116</c:v>
                </c:pt>
                <c:pt idx="8">
                  <c:v>115</c:v>
                </c:pt>
                <c:pt idx="9">
                  <c:v>108</c:v>
                </c:pt>
                <c:pt idx="10">
                  <c:v>107</c:v>
                </c:pt>
                <c:pt idx="11">
                  <c:v>104</c:v>
                </c:pt>
                <c:pt idx="12">
                  <c:v>102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Малышок</c:v>
                </c:pt>
                <c:pt idx="1">
                  <c:v>№4 Нытва</c:v>
                </c:pt>
                <c:pt idx="2">
                  <c:v>№16 Нытва</c:v>
                </c:pt>
                <c:pt idx="3">
                  <c:v>Колосок</c:v>
                </c:pt>
                <c:pt idx="4">
                  <c:v>№13</c:v>
                </c:pt>
                <c:pt idx="5">
                  <c:v>Шерья</c:v>
                </c:pt>
                <c:pt idx="6">
                  <c:v>№12</c:v>
                </c:pt>
                <c:pt idx="7">
                  <c:v>№1 Нытва</c:v>
                </c:pt>
                <c:pt idx="8">
                  <c:v>№1 Новоильинский</c:v>
                </c:pt>
                <c:pt idx="9">
                  <c:v>№14</c:v>
                </c:pt>
                <c:pt idx="10">
                  <c:v>Мокино</c:v>
                </c:pt>
                <c:pt idx="11">
                  <c:v>Н-Гаревая</c:v>
                </c:pt>
                <c:pt idx="12">
                  <c:v>№7</c:v>
                </c:pt>
                <c:pt idx="13">
                  <c:v>Груни</c:v>
                </c:pt>
                <c:pt idx="14">
                  <c:v>Петушок с Григорьевское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Малышок</c:v>
                </c:pt>
                <c:pt idx="1">
                  <c:v>№4 Нытва</c:v>
                </c:pt>
                <c:pt idx="2">
                  <c:v>№16 Нытва</c:v>
                </c:pt>
                <c:pt idx="3">
                  <c:v>Колосок</c:v>
                </c:pt>
                <c:pt idx="4">
                  <c:v>№13</c:v>
                </c:pt>
                <c:pt idx="5">
                  <c:v>Шерья</c:v>
                </c:pt>
                <c:pt idx="6">
                  <c:v>№12</c:v>
                </c:pt>
                <c:pt idx="7">
                  <c:v>№1 Нытва</c:v>
                </c:pt>
                <c:pt idx="8">
                  <c:v>№1 Новоильинский</c:v>
                </c:pt>
                <c:pt idx="9">
                  <c:v>№14</c:v>
                </c:pt>
                <c:pt idx="10">
                  <c:v>Мокино</c:v>
                </c:pt>
                <c:pt idx="11">
                  <c:v>Н-Гаревая</c:v>
                </c:pt>
                <c:pt idx="12">
                  <c:v>№7</c:v>
                </c:pt>
                <c:pt idx="13">
                  <c:v>Груни</c:v>
                </c:pt>
                <c:pt idx="14">
                  <c:v>Петушок с Григорьевское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axId val="77947648"/>
        <c:axId val="77949184"/>
      </c:barChart>
      <c:catAx>
        <c:axId val="77947648"/>
        <c:scaling>
          <c:orientation val="minMax"/>
        </c:scaling>
        <c:axPos val="b"/>
        <c:numFmt formatCode="General" sourceLinked="1"/>
        <c:tickLblPos val="nextTo"/>
        <c:crossAx val="77949184"/>
        <c:crosses val="autoZero"/>
        <c:auto val="1"/>
        <c:lblAlgn val="ctr"/>
        <c:lblOffset val="100"/>
      </c:catAx>
      <c:valAx>
        <c:axId val="77949184"/>
        <c:scaling>
          <c:orientation val="minMax"/>
        </c:scaling>
        <c:axPos val="l"/>
        <c:majorGridlines/>
        <c:numFmt formatCode="General" sourceLinked="1"/>
        <c:tickLblPos val="nextTo"/>
        <c:crossAx val="77947648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Нытвенского МР Пермского кр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ДО</dc:creator>
  <cp:keywords/>
  <dc:description/>
  <cp:lastModifiedBy>Специалист ДО</cp:lastModifiedBy>
  <cp:revision>14</cp:revision>
  <dcterms:created xsi:type="dcterms:W3CDTF">2017-03-16T06:31:00Z</dcterms:created>
  <dcterms:modified xsi:type="dcterms:W3CDTF">2017-03-27T09:46:00Z</dcterms:modified>
</cp:coreProperties>
</file>