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7A" w:rsidRPr="00A43EFB" w:rsidRDefault="00E63C7A" w:rsidP="00E63C7A">
      <w:pPr>
        <w:keepNext/>
        <w:keepLines/>
        <w:widowControl/>
        <w:spacing w:after="120" w:line="271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bookmarkStart w:id="0" w:name="_GoBack"/>
      <w:bookmarkEnd w:id="0"/>
      <w:r w:rsidRPr="00A43EFB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Инструкция для участника ГВЭ, зачитываемая организатором в аудитории перед началом экзамена</w:t>
      </w:r>
    </w:p>
    <w:p w:rsidR="00E63C7A" w:rsidRDefault="00E63C7A" w:rsidP="00E63C7A">
      <w:pPr>
        <w:widowControl/>
        <w:spacing w:after="38"/>
        <w:ind w:firstLine="567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Текст, который выделен жирным шрифтом, должен быть прочитан участникам </w:t>
      </w:r>
      <w:r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>ГВЭ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  <w:r w:rsidRPr="00A43EFB">
        <w:rPr>
          <w:rFonts w:ascii="Times New Roman" w:eastAsia="Times New Roman" w:hAnsi="Times New Roman" w:cs="Times New Roman"/>
          <w:sz w:val="26"/>
          <w:szCs w:val="22"/>
          <w:u w:val="single" w:color="000000"/>
          <w:lang w:eastAsia="en-US" w:bidi="ar-SA"/>
        </w:rPr>
        <w:t>слово в слово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. Это делается для стандартизации процедуры проведения ГИА. </w:t>
      </w:r>
      <w:r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  <w:r w:rsidRPr="00766211">
        <w:rPr>
          <w:rFonts w:ascii="Times New Roman" w:eastAsia="Times New Roman" w:hAnsi="Times New Roman" w:cs="Times New Roman"/>
          <w:sz w:val="26"/>
          <w:szCs w:val="22"/>
          <w:lang w:eastAsia="en-US"/>
        </w:rPr>
        <w:t>Участникам ГВЭ – глухим, слабослышащим, позднооглохшим и кохлеарно-имплантированным, участникам ГВЭ с расстройствами аутистического спектра необходимо раздать в напечатанном виде, предварительно заполнив отдельные пропуски по тексту указанной инструкции (например, плановая дата ознакомления с результатами и др.).</w:t>
      </w:r>
    </w:p>
    <w:p w:rsidR="00E63C7A" w:rsidRPr="00715115" w:rsidRDefault="00E63C7A" w:rsidP="00E63C7A">
      <w:pPr>
        <w:widowControl/>
        <w:spacing w:after="38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Комментарии, выделенные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курсивом, не читаются участникам ГИА. Они даны в помощь организатору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. </w:t>
      </w:r>
      <w:r w:rsidRPr="00715115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Инструктаж и экзамен проводятся в спокойной и доброжелательной обстановке</w:t>
      </w:r>
      <w:r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.</w:t>
      </w:r>
    </w:p>
    <w:p w:rsidR="00E63C7A" w:rsidRPr="00A43EFB" w:rsidRDefault="00E63C7A" w:rsidP="00E63C7A">
      <w:pPr>
        <w:widowControl/>
        <w:spacing w:after="16"/>
        <w:ind w:left="708" w:right="5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Подготовительные мероприятия: </w:t>
      </w:r>
    </w:p>
    <w:p w:rsidR="00E63C7A" w:rsidRPr="00A43EFB" w:rsidRDefault="00E63C7A" w:rsidP="00E63C7A">
      <w:pPr>
        <w:widowControl/>
        <w:spacing w:after="16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Оформить на доске (информационном стенде) в аудитории образец регистрационных полей бланка регистрации участника ГВЭ. Заполнить поля: «Код региона», «Код образовательной организации» (заполняется в соответствии с формой ППЭ-16), «Код ППЭ», «Номер аудитории», «Дата проведения ГВЭ», «Код предмета», «Название предмета». </w:t>
      </w:r>
    </w:p>
    <w:p w:rsidR="00E63C7A" w:rsidRPr="00A43EFB" w:rsidRDefault="00E63C7A" w:rsidP="00E63C7A">
      <w:pPr>
        <w:widowControl/>
        <w:spacing w:after="16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Поле «Номер и буква класса» участники ГВЭ заполняют самостоятельно,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аудитории. Поле «Код работы» на бланке регистрации заполнено автоматически. </w:t>
      </w:r>
    </w:p>
    <w:p w:rsidR="00E63C7A" w:rsidRPr="00A43EFB" w:rsidRDefault="00E63C7A" w:rsidP="00E63C7A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line="259" w:lineRule="auto"/>
        <w:ind w:right="33"/>
        <w:jc w:val="right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noProof/>
          <w:sz w:val="26"/>
          <w:szCs w:val="22"/>
          <w:lang w:bidi="ar-SA"/>
        </w:rPr>
        <w:drawing>
          <wp:inline distT="0" distB="0" distL="0" distR="0" wp14:anchorId="1BE246C8" wp14:editId="52C23614">
            <wp:extent cx="6276813" cy="1281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0" cy="12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20" w:line="259" w:lineRule="auto"/>
        <w:ind w:left="708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16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Во время экзамена на рабочем столе участника ГВЭ, помимо ЭМ, могут находиться: </w:t>
      </w:r>
    </w:p>
    <w:p w:rsidR="00E63C7A" w:rsidRPr="00A43EFB" w:rsidRDefault="00E63C7A" w:rsidP="00E63C7A">
      <w:pPr>
        <w:widowControl/>
        <w:spacing w:after="16"/>
        <w:ind w:left="708" w:right="5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гелевая или капиллярная ручка с чернилами черного цвета; </w:t>
      </w:r>
    </w:p>
    <w:p w:rsidR="00E63C7A" w:rsidRPr="00A43EFB" w:rsidRDefault="00E63C7A" w:rsidP="00E63C7A">
      <w:pPr>
        <w:widowControl/>
        <w:spacing w:after="16"/>
        <w:ind w:left="708" w:right="3985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документ, удостоверяющий личность; лекарства (при необходимости); </w:t>
      </w:r>
    </w:p>
    <w:p w:rsidR="00E63C7A" w:rsidRDefault="00E63C7A" w:rsidP="00E63C7A">
      <w:pPr>
        <w:widowControl/>
        <w:spacing w:after="16"/>
        <w:ind w:left="-15" w:right="51" w:firstLine="698"/>
        <w:jc w:val="both"/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(при необходимости); </w:t>
      </w:r>
    </w:p>
    <w:p w:rsidR="00E63C7A" w:rsidRPr="00A43EFB" w:rsidRDefault="00E63C7A" w:rsidP="00E63C7A">
      <w:pPr>
        <w:widowControl/>
        <w:spacing w:after="16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черновики, выданные в ППЭ; </w:t>
      </w:r>
    </w:p>
    <w:p w:rsidR="00E63C7A" w:rsidRPr="00A43EFB" w:rsidRDefault="00E63C7A" w:rsidP="00E63C7A">
      <w:pPr>
        <w:widowControl/>
        <w:spacing w:after="16"/>
        <w:ind w:left="708" w:right="5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средства обучения и воспитания, которые можно использовать на ГИА по отдельным учебным предметам: </w:t>
      </w:r>
    </w:p>
    <w:p w:rsidR="00E63C7A" w:rsidRPr="00A43EFB" w:rsidRDefault="00E63C7A" w:rsidP="00E63C7A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tbl>
      <w:tblPr>
        <w:tblW w:w="10120" w:type="dxa"/>
        <w:tblInd w:w="-106" w:type="dxa"/>
        <w:tblCellMar>
          <w:top w:w="23" w:type="dxa"/>
          <w:left w:w="194" w:type="dxa"/>
          <w:right w:w="74" w:type="dxa"/>
        </w:tblCellMar>
        <w:tblLook w:val="04A0" w:firstRow="1" w:lastRow="0" w:firstColumn="1" w:lastColumn="0" w:noHBand="0" w:noVBand="1"/>
      </w:tblPr>
      <w:tblGrid>
        <w:gridCol w:w="1764"/>
        <w:gridCol w:w="4155"/>
        <w:gridCol w:w="4201"/>
      </w:tblGrid>
      <w:tr w:rsidR="00E63C7A" w:rsidRPr="00A43EFB" w:rsidTr="00C15566">
        <w:trPr>
          <w:trHeight w:val="644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Учебный предмет</w:t>
            </w:r>
            <w:r w:rsidRPr="00A43EFB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Средства обучения и воспитания, которыми разрешено пользоваться на экзамене</w:t>
            </w:r>
            <w:r w:rsidRPr="00A43EFB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 xml:space="preserve"> </w:t>
            </w:r>
          </w:p>
        </w:tc>
      </w:tr>
      <w:tr w:rsidR="00E63C7A" w:rsidRPr="00A43EFB" w:rsidTr="00C15566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ind w:left="889" w:right="955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ГВЭ (письменная форма)</w:t>
            </w:r>
            <w:r w:rsidRPr="00A43EFB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ind w:left="1171" w:right="1243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ГВЭ (устная форма)</w:t>
            </w:r>
            <w:r w:rsidRPr="00A43EFB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 xml:space="preserve"> </w:t>
            </w:r>
          </w:p>
        </w:tc>
      </w:tr>
      <w:tr w:rsidR="00E63C7A" w:rsidRPr="00A43EFB" w:rsidTr="00C15566">
        <w:trPr>
          <w:trHeight w:val="27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Русский язык</w:t>
            </w:r>
            <w:r w:rsidRPr="00A43EFB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орфографический и толковый словари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A43EFB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не используются</w:t>
            </w:r>
            <w:r w:rsidRPr="00A43EFB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 xml:space="preserve"> </w:t>
            </w:r>
          </w:p>
        </w:tc>
      </w:tr>
      <w:tr w:rsidR="00E63C7A" w:rsidRPr="00A43EFB" w:rsidTr="00C15566">
        <w:trPr>
          <w:trHeight w:val="1037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7A" w:rsidRPr="00A43EFB" w:rsidRDefault="00E63C7A" w:rsidP="00C15566">
            <w:pPr>
              <w:widowControl/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Математика</w:t>
            </w:r>
            <w:r w:rsidRPr="00A43EFB"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after="21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линейка, не содержащая справочной информации; </w:t>
            </w:r>
          </w:p>
          <w:p w:rsidR="00E63C7A" w:rsidRPr="00A43EFB" w:rsidRDefault="00E63C7A" w:rsidP="00C15566">
            <w:pPr>
              <w:widowControl/>
              <w:spacing w:after="58" w:line="23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справочные материалы, содержащие основные формулы курса математики образовательной программы основного общего и среднего общего образования, которые представлены вместе с КИМ</w:t>
            </w:r>
          </w:p>
        </w:tc>
      </w:tr>
    </w:tbl>
    <w:p w:rsidR="00E63C7A" w:rsidRPr="00A43EFB" w:rsidRDefault="00E63C7A" w:rsidP="00E63C7A">
      <w:pPr>
        <w:widowControl/>
        <w:spacing w:after="36" w:line="259" w:lineRule="auto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3" w:line="269" w:lineRule="auto"/>
        <w:ind w:left="397" w:right="453" w:hanging="10"/>
        <w:jc w:val="center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Названия и коды учебных предметов </w:t>
      </w:r>
    </w:p>
    <w:tbl>
      <w:tblPr>
        <w:tblW w:w="1006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5248"/>
      </w:tblGrid>
      <w:tr w:rsidR="00E63C7A" w:rsidRPr="00A43EFB" w:rsidTr="00C15566">
        <w:trPr>
          <w:trHeight w:val="5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7A" w:rsidRPr="00A43EFB" w:rsidRDefault="00E63C7A" w:rsidP="00C15566">
            <w:pPr>
              <w:widowControl/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Название учебного предмета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ind w:left="1383" w:right="1327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Код учебного предмета </w:t>
            </w:r>
          </w:p>
        </w:tc>
      </w:tr>
      <w:tr w:rsidR="00E63C7A" w:rsidRPr="00A43EFB" w:rsidTr="00C15566">
        <w:trPr>
          <w:trHeight w:val="2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Русский язык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51 </w:t>
            </w:r>
          </w:p>
        </w:tc>
      </w:tr>
      <w:tr w:rsidR="00E63C7A" w:rsidRPr="00A43EFB" w:rsidTr="00C15566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Математика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52 </w:t>
            </w:r>
          </w:p>
        </w:tc>
      </w:tr>
    </w:tbl>
    <w:p w:rsidR="00E63C7A" w:rsidRPr="00A43EFB" w:rsidRDefault="00E63C7A" w:rsidP="00E63C7A">
      <w:pPr>
        <w:widowControl/>
        <w:spacing w:after="29" w:line="259" w:lineRule="auto"/>
        <w:ind w:left="708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3" w:line="269" w:lineRule="auto"/>
        <w:ind w:left="397" w:right="450" w:hanging="10"/>
        <w:jc w:val="center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Продолжительность выполнения экзаменационной работы ГВЭ </w:t>
      </w:r>
    </w:p>
    <w:p w:rsidR="00E63C7A" w:rsidRPr="00A43EFB" w:rsidRDefault="00E63C7A" w:rsidP="00E63C7A">
      <w:pPr>
        <w:widowControl/>
        <w:spacing w:line="259" w:lineRule="auto"/>
        <w:ind w:left="3"/>
        <w:jc w:val="center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 </w:t>
      </w:r>
    </w:p>
    <w:tbl>
      <w:tblPr>
        <w:tblW w:w="10601" w:type="dxa"/>
        <w:tblInd w:w="-223" w:type="dxa"/>
        <w:tblCellMar>
          <w:top w:w="76" w:type="dxa"/>
          <w:left w:w="123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552"/>
        <w:gridCol w:w="2835"/>
        <w:gridCol w:w="3153"/>
      </w:tblGrid>
      <w:tr w:rsidR="00E63C7A" w:rsidRPr="00A43EFB" w:rsidTr="00C15566">
        <w:trPr>
          <w:trHeight w:val="175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7A" w:rsidRPr="00A43EFB" w:rsidRDefault="00E63C7A" w:rsidP="00C15566">
            <w:pPr>
              <w:widowControl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Название учебного предмета</w:t>
            </w: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7A" w:rsidRPr="00A43EFB" w:rsidRDefault="00E63C7A" w:rsidP="00C15566">
            <w:pPr>
              <w:widowControl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Продолжительность выполнения экзаменационной работы (письменная форма)</w:t>
            </w: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7A" w:rsidRPr="00A43EFB" w:rsidRDefault="00E63C7A" w:rsidP="00C15566">
            <w:pPr>
              <w:widowControl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Продолжительность выполнения экзаменационной работы участниками ГВЭ - обучающимися с ОВЗ, детьми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-</w:t>
            </w: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инвалидами и инвалидами</w:t>
            </w: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7A" w:rsidRPr="00A43EFB" w:rsidRDefault="00E63C7A" w:rsidP="00C15566">
            <w:pPr>
              <w:widowControl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 w:bidi="ar-SA"/>
              </w:rPr>
              <w:t>Продолжительность подготовки ответов на вопросы экзаменационных заданий в устной форме</w:t>
            </w: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E63C7A" w:rsidRPr="00A43EFB" w:rsidTr="00C15566">
        <w:trPr>
          <w:trHeight w:val="31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Русский язык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 часа 55 минут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br/>
            </w: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(235 минут)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ind w:left="-123" w:hanging="595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 часов 25 минут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br/>
            </w: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(325 минут)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1 час (60 минут) </w:t>
            </w:r>
          </w:p>
        </w:tc>
      </w:tr>
      <w:tr w:rsidR="00E63C7A" w:rsidRPr="00A43EFB" w:rsidTr="00C15566">
        <w:trPr>
          <w:trHeight w:val="30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Математика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7A" w:rsidRPr="00A43EFB" w:rsidRDefault="00E63C7A" w:rsidP="00C15566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  <w:r w:rsidRPr="00A43EF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1 час 30 минут (90 минут) </w:t>
            </w:r>
          </w:p>
        </w:tc>
      </w:tr>
    </w:tbl>
    <w:p w:rsidR="00E63C7A" w:rsidRPr="00A43EFB" w:rsidRDefault="00E63C7A" w:rsidP="00E63C7A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</w:p>
    <w:p w:rsidR="00E63C7A" w:rsidRPr="00A43EFB" w:rsidRDefault="00E63C7A" w:rsidP="00E63C7A">
      <w:pPr>
        <w:widowControl/>
        <w:spacing w:after="3" w:line="269" w:lineRule="auto"/>
        <w:ind w:left="397" w:right="453" w:hanging="10"/>
        <w:jc w:val="center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Инструкция для участников ГВЭ </w:t>
      </w:r>
    </w:p>
    <w:p w:rsidR="00E63C7A" w:rsidRPr="00A43EFB" w:rsidRDefault="00E63C7A" w:rsidP="00E63C7A">
      <w:pPr>
        <w:widowControl/>
        <w:spacing w:after="13" w:line="259" w:lineRule="auto"/>
        <w:ind w:left="708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16" w:line="270" w:lineRule="auto"/>
        <w:ind w:left="708" w:right="5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Первая часть инструктажа (начало проведения с 9:50 по местному времени): </w:t>
      </w:r>
    </w:p>
    <w:p w:rsidR="00E63C7A" w:rsidRPr="00A43EFB" w:rsidRDefault="00E63C7A" w:rsidP="00E63C7A">
      <w:pPr>
        <w:widowControl/>
        <w:spacing w:before="120" w:after="12" w:line="271" w:lineRule="auto"/>
        <w:ind w:left="-17" w:right="51" w:firstLine="703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Уважаемые участники экзам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ена! Сегодня Вы сдаете экзамен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по _______________ 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>(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назовите соответствующий учебный предмет)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в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форме государственного выпускного экзамена (ГВЭ). 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ГВЭ – лишь одно из жизненных испытаний, которое вам предстоит пройти. Будьте уверены: каждому, кто учился в школе, по силам сдать ГВЭ. Все задания составлены на основе школьной программы. Поэтому каждый из вас может успешно сдать экзамен.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Вместе с тем напоминаем, что в целях предупреждения нарушений порядка проведения ГИА в аудиториях ППЭ ведется видеонаблюдение.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Во время проведения экзамена вам необходимо соблюдать порядок проведения ГИА. 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В день проведения экзамена (в период с момента входа в ППЭ и до окончания экзамена) запрещается: 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 иметь при себе уведомление о регистрации на экзамен (при наличии – необходимо сдать его нам); выносить из аудиторий и ППЭ черновики, экзаменационные материалы на бумажном или электронном носителях; фотографировать экзаменационные материалы и черновики; </w:t>
      </w:r>
    </w:p>
    <w:p w:rsidR="00E63C7A" w:rsidRDefault="00E63C7A" w:rsidP="00E63C7A">
      <w:pPr>
        <w:widowControl/>
        <w:spacing w:after="12" w:line="271" w:lineRule="auto"/>
        <w:ind w:right="49" w:firstLine="708"/>
        <w:jc w:val="both"/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lastRenderedPageBreak/>
        <w:t>перемещаться по ППЭ во время экзамена без сопровождения организатора;</w:t>
      </w:r>
    </w:p>
    <w:p w:rsidR="00E63C7A" w:rsidRDefault="00E63C7A" w:rsidP="00E63C7A">
      <w:pPr>
        <w:widowControl/>
        <w:spacing w:after="12" w:line="271" w:lineRule="auto"/>
        <w:ind w:right="49" w:firstLine="708"/>
        <w:jc w:val="both"/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выносить из аудиторий письменные принадлежности; </w:t>
      </w:r>
    </w:p>
    <w:p w:rsidR="00E63C7A" w:rsidRPr="00A43EFB" w:rsidRDefault="00E63C7A" w:rsidP="00E63C7A">
      <w:pPr>
        <w:widowControl/>
        <w:spacing w:after="12" w:line="271" w:lineRule="auto"/>
        <w:ind w:right="49" w:firstLine="70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разговаривать, пересаживаться, обмениваться любыми материалами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и предметами.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В случае нарушения порядка проведения ГИА Вы будете удалены с экзамена.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В случае нарушения порядка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проведения ГИА работниками ППЭ или другими участниками экзамена Вы имеете право подать апелляцию о нарушении порядка проведения ГИА. Апелляция о нарушении порядка проведения ГИА подается в день проведения экзамена члену ГЭК до выхода из ППЭ. Ознакомиться с результатами ГВЭ Вы сможете в своей школе.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Плановая дата ознакомления с результатами: _____________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(назвать дату).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После получения результатов ГВЭ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ГВЭ. 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Апелляцию Вы можете подать в своей школе.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Апелляция по вопросам содержания и структуры заданий по учебным предметам, а также по вопросам, связанным с нарушением участником ГВЭ требований порядка и неправильным оформлением экзаменационной работы,</w:t>
      </w:r>
      <w:r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не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рассматривается.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Обращаем ваше внимание, что во время экзамена на вашем рабочем столе, помимо экзаменационных материалов, могут находиться только: </w:t>
      </w:r>
    </w:p>
    <w:p w:rsidR="00E63C7A" w:rsidRDefault="00E63C7A" w:rsidP="00E63C7A">
      <w:pPr>
        <w:widowControl/>
        <w:spacing w:line="282" w:lineRule="auto"/>
        <w:ind w:left="708"/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гелевая, капиллярная ручка с чернилами черного цвета; </w:t>
      </w:r>
    </w:p>
    <w:p w:rsidR="00E63C7A" w:rsidRDefault="00E63C7A" w:rsidP="00E63C7A">
      <w:pPr>
        <w:widowControl/>
        <w:spacing w:line="282" w:lineRule="auto"/>
        <w:ind w:left="708"/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документ, удостоверяющий личность; </w:t>
      </w:r>
    </w:p>
    <w:p w:rsidR="00E63C7A" w:rsidRPr="00A43EFB" w:rsidRDefault="00E63C7A" w:rsidP="00E63C7A">
      <w:pPr>
        <w:widowControl/>
        <w:spacing w:line="282" w:lineRule="auto"/>
        <w:ind w:left="708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лекарства (при необходимости); </w:t>
      </w:r>
    </w:p>
    <w:p w:rsidR="00E63C7A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(при необходимости);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черновики, выданные в ППЭ; </w:t>
      </w:r>
    </w:p>
    <w:p w:rsidR="00E63C7A" w:rsidRPr="00A43EFB" w:rsidRDefault="00E63C7A" w:rsidP="00E63C7A">
      <w:pPr>
        <w:widowControl/>
        <w:spacing w:after="12" w:line="271" w:lineRule="auto"/>
        <w:ind w:right="49" w:firstLine="70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средства обучения и воспитания, которые можно использовать на ГИА по отдельным учебным предметам</w:t>
      </w:r>
      <w:r w:rsidRPr="00A43EFB">
        <w:rPr>
          <w:rFonts w:ascii="Times New Roman" w:eastAsia="Times New Roman" w:hAnsi="Times New Roman" w:cs="Times New Roman"/>
          <w:b/>
          <w:i/>
          <w:sz w:val="26"/>
          <w:szCs w:val="22"/>
          <w:lang w:eastAsia="en-US" w:bidi="ar-SA"/>
        </w:rPr>
        <w:t>.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line="259" w:lineRule="auto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Вторая часть инструктажа (начало проведения – не ранее 10:00 по местному времени).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Организатор раздает участникам в произвольном порядке КИМ и комплекты бланков (бланк регистрации и бланк ответов, связанные между собой единым кодом работы). 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Проверьте целостность комплекта бланков. Комплект бланков включает в себя:  </w:t>
      </w:r>
    </w:p>
    <w:p w:rsidR="00E63C7A" w:rsidRPr="00A43EFB" w:rsidRDefault="00E63C7A" w:rsidP="00E63C7A">
      <w:pPr>
        <w:widowControl/>
        <w:spacing w:after="12" w:line="271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бланк регистрации,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бланк ответов.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Проверьте совпадение кода работы на бланке регистрации и бланке ответов. 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В случае если вы обнаружили несовпадения, обратитесь к нам.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 </w:t>
      </w:r>
    </w:p>
    <w:p w:rsidR="00E63C7A" w:rsidRPr="00A43EFB" w:rsidRDefault="00E63C7A" w:rsidP="00E63C7A">
      <w:pPr>
        <w:widowControl/>
        <w:spacing w:after="16" w:line="270" w:lineRule="auto"/>
        <w:ind w:left="708" w:right="5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Сделайте паузу для проверки</w:t>
      </w:r>
      <w:r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участниками комплекта бланков.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Необходимо попросить участников ГВЭ проверить выданные им КИМ на наличие типографских дефектов, наличие/отсутствие страниц. При обнаружении несовпадений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lastRenderedPageBreak/>
        <w:t>кода работы, наличия лишних (нехватки) бланков, типографских дефектов следует заменить</w:t>
      </w:r>
      <w:r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полностью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комплект бланков, КИМ на новые. </w:t>
      </w:r>
    </w:p>
    <w:p w:rsidR="00E63C7A" w:rsidRPr="00FB4F77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Приступаем к заполнению бланка регистрации.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Записывайте буквы и цифры в соответствии с образцом на бланке регистрации. Каждая цифра, символ записывается в отдельную клетку, начиная с первой клетки.</w:t>
      </w:r>
      <w:r w:rsidRPr="00A43EFB">
        <w:rPr>
          <w:rFonts w:ascii="Times New Roman" w:eastAsia="Times New Roman" w:hAnsi="Times New Roman" w:cs="Times New Roman"/>
          <w:b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Заполните регистрационные поля в соответствии с информацией на доске (информационном стенде) гелевой, капиллярной ручкой с чернилами черного цвета. При отсутствии такой ручки обратитесь к нам, так как бланки, заполненные иной ручкой, не обрабатываются и не проверяются.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 </w:t>
      </w:r>
    </w:p>
    <w:p w:rsidR="00E63C7A" w:rsidRPr="00A43EFB" w:rsidRDefault="00E63C7A" w:rsidP="00E63C7A">
      <w:pPr>
        <w:widowControl/>
        <w:spacing w:before="80" w:after="80" w:line="271" w:lineRule="auto"/>
        <w:ind w:left="709" w:right="5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Обратите внимание участников на доску.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Заполните в соответствии с информацией на доске (информационном стенде) следующие поля: «Код региона»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(пауза)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, «Код образовательной организации»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(пауза)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, «Код ППЭ», «Номер аудитории»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(пауза),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 «Дата проведения ГВЭ»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(пауза)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, «Код предмета»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(пауза)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, «Название предмета»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(пауза)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. Поля «Номер и буква класса»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и «Номер варианта» заполните самостоятельно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(пауза)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. Поле «Код работы» заполнено автоматически. Поля «Резерв-1», «Резерв-2», «Резерв-3» не заполняются.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Заполните самостоятельно сведения о себе: фамилия, имя, отчество, данные докуме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нта, удостоверяющего личность. </w:t>
      </w:r>
    </w:p>
    <w:p w:rsidR="00E63C7A" w:rsidRPr="00CD2D2E" w:rsidRDefault="00E63C7A" w:rsidP="00E63C7A">
      <w:pPr>
        <w:widowControl/>
        <w:spacing w:before="80" w:after="80" w:line="271" w:lineRule="auto"/>
        <w:ind w:left="709" w:right="51"/>
        <w:jc w:val="both"/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Сделать паузу для заполнения участниками бланков регистрации.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Поставьте вашу подпись строго внутри окошка «подпись участника ГВЭ», расположенного в нижней части бланка регистрации.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В случае если участник ГВЭ отказывается ставить личную подпись в поле «Подпись участника ГВЭ», организатор в аудитории ставит свою подпись в поле участника ГВЭ.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В случае если участник ГВЭ с ОВЗ, участник ГВЭ-ребенок – инвалид и инвалид не в состоянии по состоянию здоровья поставить свою подпись, подпись ставится ассистентом указанного участника ГВЭ либо ответственным организатором в аудитории.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Приступаем к заполнению регистрационных полей бланка ответов.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Регистрационные поля в бланке отв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етов заполняются в соответствии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 с информацией на доске.  </w:t>
      </w:r>
    </w:p>
    <w:p w:rsidR="00E63C7A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Служебное поле «Резерв-4» не заполняйте.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Сделать паузу для заполнения участниками бланков.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Организаторы проверяют правильность заполнения регистрационных полей на всех бланках у каждого участника ГВЭ и со</w:t>
      </w:r>
      <w:r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ответствие данных участника ГВЭ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в документе, удостоверяющем личность, и в бланке регистрации.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В случае если участник ГВЭ с ОВЗ, участник ГВЭ – ребенок-инвалид и инвалид по состоянию здоровья не может поставить личную подпись в бланке регистрации, ассистент указанного участника ГВЭ или ответственный организатор в аудитории ставит в бланке регистрации свою подпись. 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Напоминаем основные правила по заполнению бланка ответов.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Обращаем ваше внимание, что на бланке ответов запрещается делать какие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-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либо записи и пометки, не относящиеся к ответам на задания, в том числе содержащие информацию о личности участника ГВЭ. Также обращаем ваше внимание на то, что ответы, записанные в черновиках и КИМ, не проверяются. 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lastRenderedPageBreak/>
        <w:t>В случае нехватки места в бланке отве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тов Вы можете обратиться к нам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за дополнительным бланком ответов.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ваши экзаменационные материалы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и черновики на своем рабочем столе. Организатор проверит комплектность оставленных вами экзаменационных материалов, после чего Вы сможете выйти из аудитории. На территории ППЭ вас будет сопровождать организатор. 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В случае плохого самочувствия незамедлительно обращайтесь к нам. В ППЭ присутствует медицинский работник. Напоминаем, что по состоянию здоровья Вы можете досрочно завершить экзамен и прийти на пересдачу.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Инструктаж закончен. Перед началом выполнения экзаменационной работы, пожалуйста, успокойтесь, сосредоточьтесь.</w:t>
      </w:r>
      <w:r w:rsidRPr="00A43EFB">
        <w:rPr>
          <w:rFonts w:ascii="Times New Roman" w:eastAsia="Times New Roman" w:hAnsi="Times New Roman" w:cs="Times New Roman"/>
          <w:b/>
          <w:color w:val="FF0000"/>
          <w:sz w:val="26"/>
          <w:szCs w:val="22"/>
          <w:lang w:eastAsia="en-US" w:bidi="ar-SA"/>
        </w:rPr>
        <w:t xml:space="preserve"> 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Начало выполнения экзаменационной работы: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(объявить время начала)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Окончание выполнения экзаменационной работы: 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(указать время)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before="80" w:after="16" w:line="271" w:lineRule="auto"/>
        <w:ind w:left="709" w:right="5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Запишите на доске время начала и окончания выполнения экзаменационной работы.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Время, отведенное на инструктаж и заполнение регистрационных полей бланков, в общее время выполнения экзаменационной работы не включается. </w:t>
      </w:r>
    </w:p>
    <w:p w:rsidR="00E63C7A" w:rsidRPr="00A43EFB" w:rsidRDefault="00E63C7A" w:rsidP="00E63C7A">
      <w:pPr>
        <w:widowControl/>
        <w:spacing w:before="80" w:after="12" w:line="271" w:lineRule="auto"/>
        <w:ind w:left="-17" w:right="51" w:firstLine="703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Не забывайте переносить ответы из черновиков и КИМ в бланки ответов черной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гелевой или капиллярной ручкой.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Вы можете приступать к выполнению заданий. Желаем удачи!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За 30 минут до окончания выполнения экзаменационной работы необходимо объявить: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До окончания выполнения экзаменационной работы осталось 30 минут. 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Не забывайте переносить ответы из КИМ и черновиков в бланки ответов</w:t>
      </w:r>
      <w:r w:rsidRPr="00A43EFB"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  <w:t xml:space="preserve">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черной гелевой или капиллярной ручкой.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after="16" w:line="270" w:lineRule="auto"/>
        <w:ind w:left="-15" w:right="51" w:firstLine="698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За 5 минут до окончания выполнения экзаменационной работы необходимо объявить: </w:t>
      </w:r>
    </w:p>
    <w:p w:rsidR="00E63C7A" w:rsidRPr="00A43EFB" w:rsidRDefault="00E63C7A" w:rsidP="00E63C7A">
      <w:pPr>
        <w:widowControl/>
        <w:spacing w:after="12" w:line="271" w:lineRule="auto"/>
        <w:ind w:left="708" w:right="49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До окончания выполнения экзаменационной работы осталось 5 минут.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Проверьте, все ли ответы вы перенесли из КИМ и черновиков в бланки ответов. </w:t>
      </w:r>
    </w:p>
    <w:p w:rsidR="00E63C7A" w:rsidRPr="00A43EFB" w:rsidRDefault="00E63C7A" w:rsidP="00E63C7A">
      <w:pPr>
        <w:widowControl/>
        <w:spacing w:before="80" w:after="80" w:line="271" w:lineRule="auto"/>
        <w:ind w:left="709" w:right="5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По окончании выполнения экзаменационной работы объявить: </w:t>
      </w:r>
    </w:p>
    <w:p w:rsidR="00E63C7A" w:rsidRPr="00A43EFB" w:rsidRDefault="00E63C7A" w:rsidP="00E63C7A">
      <w:pPr>
        <w:widowControl/>
        <w:spacing w:after="12" w:line="271" w:lineRule="auto"/>
        <w:ind w:left="-15" w:right="49" w:firstLine="701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Выполнение экзаменационной работ</w:t>
      </w:r>
      <w:r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 xml:space="preserve">ы окончено. Сложите бланки ГВЭ </w:t>
      </w:r>
      <w:r w:rsidRPr="00A43EFB">
        <w:rPr>
          <w:rFonts w:ascii="Times New Roman" w:eastAsia="Times New Roman" w:hAnsi="Times New Roman" w:cs="Times New Roman"/>
          <w:b/>
          <w:sz w:val="26"/>
          <w:szCs w:val="22"/>
          <w:lang w:eastAsia="en-US" w:bidi="ar-SA"/>
        </w:rPr>
        <w:t>в следующем порядке: бланк регистрации, бланк ответов, дополнительные бланки ответов (если использовали) по порядку. Положите комплект бланков, КИМ и черновики на край стола. Мы пройдем и соберем Ваши экзаменационные материалы.</w:t>
      </w: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 xml:space="preserve"> </w:t>
      </w:r>
    </w:p>
    <w:p w:rsidR="00E63C7A" w:rsidRPr="00A43EFB" w:rsidRDefault="00E63C7A" w:rsidP="00E63C7A">
      <w:pPr>
        <w:widowControl/>
        <w:spacing w:before="120" w:after="16" w:line="271" w:lineRule="auto"/>
        <w:ind w:left="-17" w:right="51" w:firstLine="697"/>
        <w:jc w:val="both"/>
        <w:rPr>
          <w:rFonts w:ascii="Times New Roman" w:eastAsia="Times New Roman" w:hAnsi="Times New Roman" w:cs="Times New Roman"/>
          <w:sz w:val="26"/>
          <w:szCs w:val="22"/>
          <w:lang w:eastAsia="en-US" w:bidi="ar-SA"/>
        </w:rPr>
      </w:pPr>
      <w:r w:rsidRPr="00A43EFB"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Организаторы осуществляют сбор экзаменационных материалов с рабочих мест участнико</w:t>
      </w:r>
      <w:r>
        <w:rPr>
          <w:rFonts w:ascii="Times New Roman" w:eastAsia="Times New Roman" w:hAnsi="Times New Roman" w:cs="Times New Roman"/>
          <w:i/>
          <w:sz w:val="26"/>
          <w:szCs w:val="22"/>
          <w:lang w:eastAsia="en-US" w:bidi="ar-SA"/>
        </w:rPr>
        <w:t>в ГВЭ в организованном порядке.</w:t>
      </w:r>
    </w:p>
    <w:p w:rsidR="00370B58" w:rsidRDefault="00370B58"/>
    <w:sectPr w:rsidR="00370B58" w:rsidSect="00A43EFB">
      <w:pgSz w:w="12269" w:h="17329"/>
      <w:pgMar w:top="993" w:right="645" w:bottom="96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A"/>
    <w:rsid w:val="00370B58"/>
    <w:rsid w:val="00E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C679-7F0B-4D5B-934A-ACACFCBF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C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63C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qFormat/>
    <w:rsid w:val="00E63C7A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E63C7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2024-02-18T08:29:00Z</dcterms:created>
  <dcterms:modified xsi:type="dcterms:W3CDTF">2024-02-18T08:30:00Z</dcterms:modified>
</cp:coreProperties>
</file>