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375624" w:rsidRPr="00FB1B4E" w:rsidTr="00AC0386">
        <w:tc>
          <w:tcPr>
            <w:tcW w:w="1951" w:type="dxa"/>
          </w:tcPr>
          <w:p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17"/>
        <w:gridCol w:w="7371"/>
        <w:gridCol w:w="743"/>
      </w:tblGrid>
      <w:tr w:rsidR="0089135F" w:rsidRPr="00FB1B4E" w:rsidTr="00AC0386">
        <w:trPr>
          <w:trHeight w:val="127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:rsidTr="00AC0386">
        <w:trPr>
          <w:trHeight w:val="933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:rsidTr="00AC0386">
        <w:trPr>
          <w:trHeight w:val="772"/>
        </w:trPr>
        <w:tc>
          <w:tcPr>
            <w:tcW w:w="817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:rsidTr="00AC0386">
        <w:trPr>
          <w:trHeight w:val="610"/>
        </w:trPr>
        <w:tc>
          <w:tcPr>
            <w:tcW w:w="817" w:type="dxa"/>
          </w:tcPr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проекты.</w:t>
      </w:r>
    </w:p>
    <w:p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/>
      </w:tblPr>
      <w:tblGrid>
        <w:gridCol w:w="562"/>
        <w:gridCol w:w="2549"/>
        <w:gridCol w:w="2838"/>
        <w:gridCol w:w="3260"/>
      </w:tblGrid>
      <w:tr w:rsidR="000A47B6" w:rsidRPr="00FB1B4E" w:rsidTr="000A47B6">
        <w:tc>
          <w:tcPr>
            <w:tcW w:w="562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Бормотов Алексей </w:t>
            </w:r>
          </w:p>
          <w:p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A47B6" w:rsidRPr="00983D62" w:rsidRDefault="00E2011F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:rsidR="002F0FD1" w:rsidRPr="00CD74E2" w:rsidRDefault="00E2011F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:rsidTr="000A47B6">
        <w:tc>
          <w:tcPr>
            <w:tcW w:w="562" w:type="dxa"/>
          </w:tcPr>
          <w:p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:rsidR="00C5706B" w:rsidRPr="00983D62" w:rsidRDefault="00E2011F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 Илья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 Илья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 Виктория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:rsidR="006B2EEC" w:rsidRPr="00983D62" w:rsidRDefault="00E2011F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:rsidR="006B2EEC" w:rsidRDefault="00E2011F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:rsidTr="000A47B6">
        <w:tc>
          <w:tcPr>
            <w:tcW w:w="562" w:type="dxa"/>
          </w:tcPr>
          <w:p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:rsidR="006B2EEC" w:rsidRDefault="00E2011F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славы назначен Александр 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видео-конференций</w:t>
      </w:r>
    </w:p>
    <w:p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каждого федерального округа проводится 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График видео-конференций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 xml:space="preserve">рт-проект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15"/>
      </w:tblGrid>
      <w:tr w:rsidR="00983D62" w:rsidRPr="00FB1B4E" w:rsidTr="0064372B">
        <w:tc>
          <w:tcPr>
            <w:tcW w:w="1951" w:type="dxa"/>
          </w:tcPr>
          <w:p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т.г.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Росархиву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Старт региональных выставок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 xml:space="preserve">сентября </w:t>
      </w:r>
      <w:r w:rsidR="008640F3">
        <w:rPr>
          <w:rFonts w:ascii="Times New Roman" w:hAnsi="Times New Roman" w:cs="Times New Roman"/>
        </w:rPr>
        <w:t xml:space="preserve">2020 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февраля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подведение итогов Конкурса школьных сочинений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организованного Министерством просвещения Российской Федерации.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</w:t>
      </w:r>
      <w:r w:rsidR="008640F3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 xml:space="preserve">работа </w:t>
      </w:r>
      <w:r w:rsidR="002F0FD1">
        <w:rPr>
          <w:rFonts w:ascii="Times New Roman" w:hAnsi="Times New Roman" w:cs="Times New Roman"/>
        </w:rPr>
        <w:t xml:space="preserve">студенческого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Архивного десанта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640F3">
        <w:rPr>
          <w:rFonts w:ascii="Times New Roman" w:hAnsi="Times New Roman" w:cs="Times New Roman"/>
        </w:rPr>
        <w:t xml:space="preserve"> </w:t>
      </w:r>
      <w:r w:rsidRPr="002F0FD1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640F3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регионах России,</w:t>
      </w:r>
      <w:r w:rsidRPr="00FB1B4E">
        <w:rPr>
          <w:rFonts w:ascii="Times New Roman" w:hAnsi="Times New Roman" w:cs="Times New Roman"/>
        </w:rPr>
        <w:t xml:space="preserve">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 xml:space="preserve">июня.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один день </w:t>
      </w:r>
      <w:r w:rsidR="008640F3" w:rsidRPr="007448C2">
        <w:rPr>
          <w:rFonts w:ascii="Times New Roman" w:hAnsi="Times New Roman" w:cs="Times New Roman"/>
        </w:rPr>
        <w:t xml:space="preserve">во всех </w:t>
      </w:r>
      <w:r w:rsidR="008640F3" w:rsidRPr="00653FF7">
        <w:rPr>
          <w:rFonts w:ascii="Times New Roman" w:hAnsi="Times New Roman" w:cs="Times New Roman"/>
        </w:rPr>
        <w:t>85-ти субъектах Российской Федерации</w:t>
      </w:r>
      <w:r w:rsidR="008640F3" w:rsidRPr="00FB1B4E" w:rsidDel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стартуют выставки архивных документов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военных преступлениях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их пособников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#безсрокадавности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форумах Росмолодежи</w:t>
      </w:r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Белгородская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Бормотов Алексей Леонидович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</w:t>
      </w:r>
      <w:r w:rsidR="0060392E" w:rsidRPr="00FB1B4E">
        <w:rPr>
          <w:rFonts w:ascii="Times New Roman" w:hAnsi="Times New Roman" w:cs="Times New Roman"/>
        </w:rPr>
        <w:t>в</w:t>
      </w:r>
      <w:r w:rsidR="00842DCB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42DCB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РФ обеспечивают:</w:t>
      </w:r>
    </w:p>
    <w:p w:rsidR="000A47B6" w:rsidRPr="00FB1B4E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режим наибольшего благоприятствования</w:t>
      </w:r>
      <w:r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печать материалов выставки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перемещение выставки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сельским </w:t>
      </w:r>
      <w:r w:rsidR="00776B58">
        <w:rPr>
          <w:rFonts w:ascii="Times New Roman" w:hAnsi="Times New Roman" w:cs="Times New Roman"/>
        </w:rPr>
        <w:t>населенным пунктам</w:t>
      </w:r>
      <w:r w:rsidR="00776B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организованное посещение выставок участниками</w:t>
      </w:r>
      <w:bookmarkStart w:id="0" w:name="_Hlk27645432"/>
      <w:r w:rsidRPr="00FB1B4E">
        <w:rPr>
          <w:rFonts w:ascii="Times New Roman" w:hAnsi="Times New Roman" w:cs="Times New Roman"/>
        </w:rPr>
        <w:t>;</w:t>
      </w:r>
      <w:bookmarkEnd w:id="0"/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презентации научных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поисковых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ED20A2">
      <w:p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проведения мероприятий каждая региональная дирекция Года: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воинских частей (по договоренности).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FB1B4E" w:rsidRDefault="000A47B6" w:rsidP="000A47B6">
      <w:pPr>
        <w:ind w:left="1068" w:firstLine="34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</w:t>
      </w:r>
      <w:r w:rsidRPr="00FF3ACF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F3ACF">
        <w:rPr>
          <w:rFonts w:ascii="Times New Roman" w:hAnsi="Times New Roman" w:cs="Times New Roman"/>
        </w:rPr>
        <w:t> </w:t>
      </w:r>
      <w:r w:rsidRPr="00FF3ACF">
        <w:rPr>
          <w:rFonts w:ascii="Times New Roman" w:hAnsi="Times New Roman" w:cs="Times New Roman"/>
        </w:rPr>
        <w:t>регионов</w:t>
      </w:r>
      <w:r w:rsidRPr="00FB1B4E">
        <w:rPr>
          <w:rFonts w:ascii="Times New Roman" w:hAnsi="Times New Roman" w:cs="Times New Roman"/>
        </w:rPr>
        <w:t xml:space="preserve"> информационное сопровождение всех мероприятий проекта:</w:t>
      </w:r>
    </w:p>
    <w:p w:rsidR="000A47B6" w:rsidRPr="00FB1B4E" w:rsidRDefault="000A47B6" w:rsidP="000A47B6">
      <w:pPr>
        <w:ind w:left="372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– </w:t>
      </w:r>
      <w:r w:rsidRPr="00FB1B4E">
        <w:rPr>
          <w:rFonts w:ascii="Times New Roman" w:hAnsi="Times New Roman" w:cs="Times New Roman"/>
        </w:rPr>
        <w:tab/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работе поисковых экспедиций</w:t>
      </w:r>
      <w:r w:rsidR="00842DCB">
        <w:rPr>
          <w:rFonts w:ascii="Times New Roman" w:hAnsi="Times New Roman" w:cs="Times New Roman"/>
        </w:rPr>
        <w:t>;</w:t>
      </w:r>
      <w:r w:rsidR="00842DCB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интервью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руководителями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участниками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пресс-мероприятия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старте региональной 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материалами данной территории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организованных групп посещения выставок.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 всех партнерских организаций,</w:t>
      </w:r>
    </w:p>
    <w:p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перепост,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соцсетях необходимо использовать хештег </w:t>
      </w:r>
      <w:r w:rsidRPr="00FB1B4E">
        <w:rPr>
          <w:rFonts w:ascii="Times New Roman" w:hAnsi="Times New Roman" w:cs="Times New Roman"/>
          <w:b/>
        </w:rPr>
        <w:t>#безсрокадавности</w:t>
      </w:r>
      <w:r w:rsidR="00DB509C" w:rsidRPr="00AB64CF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88"/>
        <w:gridCol w:w="1559"/>
        <w:gridCol w:w="2551"/>
        <w:gridCol w:w="2127"/>
        <w:gridCol w:w="2114"/>
      </w:tblGrid>
      <w:tr w:rsidR="000A47B6" w:rsidRPr="00FB1B4E" w:rsidTr="00AC0386">
        <w:tc>
          <w:tcPr>
            <w:tcW w:w="98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988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Методические материалы</w:t>
      </w:r>
    </w:p>
    <w:p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:rsidR="007B7BBD" w:rsidRDefault="007B7BBD" w:rsidP="000A47B6">
      <w:pPr>
        <w:jc w:val="both"/>
        <w:rPr>
          <w:rFonts w:ascii="Times New Roman" w:hAnsi="Times New Roman" w:cs="Times New Roman"/>
        </w:rPr>
      </w:pPr>
    </w:p>
    <w:p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Default="000A47B6" w:rsidP="000A47B6">
      <w:pPr>
        <w:rPr>
          <w:rFonts w:ascii="Times New Roman" w:hAnsi="Times New Roman" w:cs="Times New Roman"/>
        </w:rPr>
      </w:pPr>
    </w:p>
    <w:p w:rsidR="00AB64CF" w:rsidRPr="00FB1B4E" w:rsidRDefault="00AB64CF" w:rsidP="000A47B6">
      <w:pPr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должны: 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Хештег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#блокадныйхлеб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медиаменеджерам всех партнерских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перепосты,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обязательно использование хештегов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рекомендации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Mail.ru Group).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Ключевые результаты проекта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>, аккаунтах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Default="000A47B6" w:rsidP="000A47B6">
      <w:pPr>
        <w:pStyle w:val="ac"/>
        <w:rPr>
          <w:rFonts w:ascii="Times New Roman" w:hAnsi="Times New Roman" w:cs="Times New Roman"/>
        </w:rPr>
      </w:pPr>
    </w:p>
    <w:p w:rsidR="00061060" w:rsidRDefault="00061060" w:rsidP="000A47B6">
      <w:pPr>
        <w:pStyle w:val="ac"/>
        <w:rPr>
          <w:rFonts w:ascii="Times New Roman" w:hAnsi="Times New Roman" w:cs="Times New Roman"/>
        </w:rPr>
      </w:pPr>
    </w:p>
    <w:p w:rsidR="00DE5ABE" w:rsidRDefault="00DE5ABE" w:rsidP="000A47B6">
      <w:pPr>
        <w:pStyle w:val="ac"/>
        <w:rPr>
          <w:rFonts w:ascii="Times New Roman" w:hAnsi="Times New Roman" w:cs="Times New Roman"/>
        </w:rPr>
      </w:pPr>
    </w:p>
    <w:p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lastRenderedPageBreak/>
        <w:t xml:space="preserve">Методические материалы </w:t>
      </w:r>
    </w:p>
    <w:p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9"/>
        <w:gridCol w:w="4829"/>
        <w:gridCol w:w="3168"/>
      </w:tblGrid>
      <w:tr w:rsidR="000A47B6" w:rsidRPr="00FB1B4E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:rsidTr="00AC0386">
        <w:trPr>
          <w:trHeight w:val="272"/>
        </w:trPr>
        <w:tc>
          <w:tcPr>
            <w:tcW w:w="137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реконструкторов,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паблики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паблики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мессенджерах.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#поездпобеды</w:t>
      </w:r>
      <w:r w:rsidRPr="00FB1B4E">
        <w:rPr>
          <w:rFonts w:ascii="Times New Roman" w:hAnsi="Times New Roman" w:cs="Times New Roman"/>
        </w:rPr>
        <w:t>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:rsidTr="00AC0386">
        <w:tc>
          <w:tcPr>
            <w:tcW w:w="553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:rsidR="0078716D" w:rsidRPr="000F1208" w:rsidRDefault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Default="0078716D" w:rsidP="0078716D">
      <w:pPr>
        <w:jc w:val="both"/>
        <w:rPr>
          <w:rFonts w:ascii="Times New Roman" w:hAnsi="Times New Roman" w:cs="Times New Roman"/>
        </w:rPr>
      </w:pPr>
    </w:p>
    <w:p w:rsidR="00897F35" w:rsidRDefault="00897F35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тексты из семейных архивов или воспоминаний. Материалы проходят модерацию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 Года памяти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7D1CD2">
        <w:rPr>
          <w:rFonts w:ascii="Times New Roman" w:hAnsi="Times New Roman" w:cs="Times New Roman"/>
          <w:b/>
        </w:rPr>
        <w:t>в</w:t>
      </w:r>
      <w:r w:rsidR="0094053C" w:rsidRPr="00FB1B4E">
        <w:rPr>
          <w:rFonts w:ascii="Times New Roman" w:hAnsi="Times New Roman" w:cs="Times New Roman"/>
          <w:b/>
        </w:rPr>
        <w:t>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году</w:t>
      </w:r>
    </w:p>
    <w:p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административную поддержку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размещению точек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документов (при наличии соответствующих решений)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МФЦ;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оказывают поддержку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организации точек информирования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образовательных, досуговых, культурных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спортивных организациях;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Почтить память героев, получивших награды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подвиги, совершенные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ходе Великой Отечественной войны,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также тружеников тыла </w:t>
      </w:r>
      <w:r w:rsidRPr="00FB1B4E">
        <w:rPr>
          <w:rFonts w:ascii="Times New Roman" w:hAnsi="Times New Roman" w:cs="Times New Roman"/>
        </w:rPr>
        <w:t>через использование современных мультимедийных форматов.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инициирован ООД </w:t>
      </w:r>
      <w:r w:rsidR="00ED5D89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 xml:space="preserve">Народный </w:t>
      </w:r>
      <w:r w:rsidR="0032388B">
        <w:rPr>
          <w:rFonts w:ascii="Times New Roman" w:hAnsi="Times New Roman" w:cs="Times New Roman"/>
        </w:rPr>
        <w:t>ф</w:t>
      </w:r>
      <w:r w:rsidR="0032388B" w:rsidRPr="00FB1B4E">
        <w:rPr>
          <w:rFonts w:ascii="Times New Roman" w:hAnsi="Times New Roman" w:cs="Times New Roman"/>
        </w:rPr>
        <w:t xml:space="preserve">ронт </w:t>
      </w:r>
      <w:r w:rsidR="0032388B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совмещение интернет-форматов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позволяющий пользователям мобильных телефонов увидеть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7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8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Excel-форму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29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YouTube-канала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4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5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6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ссылки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r w:rsidR="004121E7" w:rsidRPr="003450E6">
        <w:rPr>
          <w:rFonts w:ascii="Times New Roman" w:hAnsi="Times New Roman" w:cs="Times New Roman"/>
        </w:rPr>
        <w:t>YouTube</w:t>
      </w:r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7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39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lastRenderedPageBreak/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2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площадке видеохостинга YouTube должны соответствовать фирменному стилю проекта.</w:t>
      </w:r>
    </w:p>
    <w:p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psd-редактор,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4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б</w:t>
      </w:r>
      <w:r w:rsidRPr="00FB1B4E">
        <w:rPr>
          <w:rFonts w:ascii="Times New Roman" w:hAnsi="Times New Roman" w:cs="Times New Roman"/>
        </w:rPr>
        <w:t>рендирование видеороликов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lastRenderedPageBreak/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5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февраля региональные дирекции должны: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медийное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Завершающий этап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 xml:space="preserve">восполнения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/>
      </w:tblPr>
      <w:tblGrid>
        <w:gridCol w:w="440"/>
        <w:gridCol w:w="1310"/>
        <w:gridCol w:w="1435"/>
        <w:gridCol w:w="901"/>
        <w:gridCol w:w="1399"/>
        <w:gridCol w:w="1317"/>
        <w:gridCol w:w="1486"/>
        <w:gridCol w:w="1277"/>
      </w:tblGrid>
      <w:tr w:rsidR="0078716D" w:rsidRPr="00FB1B4E" w:rsidTr="00983D62">
        <w:tc>
          <w:tcPr>
            <w:tcW w:w="44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983D62">
        <w:tc>
          <w:tcPr>
            <w:tcW w:w="44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местных пабликах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школьных родительских пабликах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мессенждерах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соцсетях,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привлечение СМИ, блогеров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хештегом </w:t>
      </w:r>
      <w:r w:rsidRPr="00FB1B4E">
        <w:rPr>
          <w:rFonts w:ascii="Times New Roman" w:hAnsi="Times New Roman" w:cs="Times New Roman"/>
          <w:b/>
        </w:rPr>
        <w:t>#садпамяти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селфи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имеют большое количество 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интерактивной карте после премодерации.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С.Бондарчук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>нному рассказу М.Шолохова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противовес героическим </w:t>
      </w:r>
      <w:r w:rsidRPr="00983D62">
        <w:rPr>
          <w:rFonts w:ascii="Times New Roman" w:hAnsi="Times New Roman" w:cs="Times New Roman"/>
        </w:rPr>
        <w:lastRenderedPageBreak/>
        <w:t>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Директор акции Виктория Ворожбит.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Дирекция проекта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: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78716D" w:rsidRPr="00FB1B4E" w:rsidTr="0078716D">
        <w:tc>
          <w:tcPr>
            <w:tcW w:w="2122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:rsidTr="0078716D">
        <w:tc>
          <w:tcPr>
            <w:tcW w:w="2122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:rsidTr="0078716D">
        <w:tc>
          <w:tcPr>
            <w:tcW w:w="418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:rsidTr="0078716D">
        <w:tc>
          <w:tcPr>
            <w:tcW w:w="418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Своевременно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Учитывать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времени проведения акции через лояльных блогеров;</w:t>
      </w:r>
    </w:p>
    <w:p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lastRenderedPageBreak/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lastRenderedPageBreak/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городах проведения матчей: 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 дирекцией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проведения матчей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Региональные дирекции Года памяти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славы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субъектах РФ, где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не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проходят вышеперечисленные турниры,</w:t>
      </w:r>
      <w:r w:rsidR="008140F6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реализуют проект 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Песни памяти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стадионе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любых крупных спортивных событиях, проходящих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регионе.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т.ч.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аудио-визуальный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Хештег </w:t>
      </w:r>
      <w:r w:rsidRPr="00FB1B4E">
        <w:rPr>
          <w:rFonts w:ascii="Times New Roman" w:hAnsi="Times New Roman" w:cs="Times New Roman"/>
          <w:b/>
        </w:rPr>
        <w:t xml:space="preserve">#песнипамяти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селфи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lastRenderedPageBreak/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 Светодизайнеры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>Эс-Ди-Ай Проджект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6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7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Кабсистем</w:t>
      </w:r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Арт-проекта</w:t>
      </w:r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r w:rsidR="002516B9" w:rsidRPr="00061060">
        <w:rPr>
          <w:rFonts w:ascii="Times New Roman" w:hAnsi="Times New Roman" w:cs="Times New Roman"/>
          <w:b/>
        </w:rPr>
        <w:t>арт-проекте</w:t>
      </w:r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r w:rsidRPr="00061060">
        <w:rPr>
          <w:rFonts w:ascii="Times New Roman" w:hAnsi="Times New Roman" w:cs="Times New Roman"/>
          <w:b/>
        </w:rPr>
        <w:t>РиоРита</w:t>
      </w:r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Основой арт-проекта «РиоРита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Арт-проект «РиоРита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исполнении духового оркестра. Участие реконструкторов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/>
      </w:tblPr>
      <w:tblGrid>
        <w:gridCol w:w="676"/>
        <w:gridCol w:w="5822"/>
        <w:gridCol w:w="2943"/>
      </w:tblGrid>
      <w:tr w:rsidR="002516B9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E201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реконструкторами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>общественно-патриотическим объединением, клубом реконструкторов, культурно-досуговым отделом парка культуры и отдыха, молодежным театром, центром молодежных про</w:t>
      </w:r>
      <w:r w:rsidRPr="00061060">
        <w:rPr>
          <w:rFonts w:ascii="Times New Roman" w:hAnsi="Times New Roman" w:cs="Times New Roman"/>
          <w:lang w:val="en-US"/>
        </w:rPr>
        <w:t>e</w:t>
      </w:r>
      <w:r w:rsidRPr="00061060">
        <w:rPr>
          <w:rFonts w:ascii="Times New Roman" w:hAnsi="Times New Roman" w:cs="Times New Roman"/>
        </w:rPr>
        <w:t>ктов, студенческим волонтерским объединением, АНО, НКО соответствующего профиля, ДК 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Обязательно наличие реконструкторов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Ремесленные мастерские и клубы ручного труда, коворкинги и крафт-объединения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lastRenderedPageBreak/>
        <w:t>Ресурсы для изготовления сувенирной, печатной продукции продвижения и сопровождения мероприятия (оригинал макеты и задания представляются организатором), транспортного и организационного обеспечения работы оркестра, команды, формирования фото и видеоконтента.</w:t>
      </w:r>
    </w:p>
    <w:p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подготовки и реализации арт-проекта «РиоРита – радость Победы»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>огласовывает дальнейшее движение по арт-проекту «РиоРита – радость Победы» с организатором проекта.</w:t>
      </w:r>
    </w:p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CF" w:rsidRDefault="00A732CF" w:rsidP="00A732CF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арт-проект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РиоРита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/>
      </w:tblPr>
      <w:tblGrid>
        <w:gridCol w:w="619"/>
        <w:gridCol w:w="3143"/>
        <w:gridCol w:w="1862"/>
        <w:gridCol w:w="1857"/>
        <w:gridCol w:w="1858"/>
      </w:tblGrid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bookmarkEnd w:id="1"/>
    <w:p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РиоРита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 xml:space="preserve">хештегом </w:t>
      </w:r>
      <w:r w:rsidR="00E96622" w:rsidRPr="00FB1B4E">
        <w:rPr>
          <w:rFonts w:ascii="Times New Roman" w:hAnsi="Times New Roman" w:cs="Times New Roman"/>
          <w:b/>
        </w:rPr>
        <w:t>#радостьпобеды</w:t>
      </w:r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r w:rsidR="00DE5ABE">
        <w:rPr>
          <w:rFonts w:ascii="Times New Roman" w:hAnsi="Times New Roman" w:cs="Times New Roman"/>
          <w:b/>
        </w:rPr>
        <w:t xml:space="preserve">риорита. </w:t>
      </w: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49"/>
      <w:footerReference w:type="even" r:id="rId50"/>
      <w:footerReference w:type="default" r:id="rId51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12" w:rsidRDefault="00F65B12" w:rsidP="004F4379">
      <w:r>
        <w:separator/>
      </w:r>
    </w:p>
  </w:endnote>
  <w:endnote w:type="continuationSeparator" w:id="0">
    <w:p w:rsidR="00F65B12" w:rsidRDefault="00F65B12" w:rsidP="004F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Content>
      <w:p w:rsidR="000A51EF" w:rsidRDefault="00E2011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A51EF" w:rsidRDefault="000A51EF" w:rsidP="000A5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Content>
      <w:p w:rsidR="000A51EF" w:rsidRDefault="00E2011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3E96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61060" w:rsidRDefault="00061060" w:rsidP="000A51EF">
    <w:pPr>
      <w:pStyle w:val="a6"/>
      <w:ind w:right="360"/>
    </w:pPr>
  </w:p>
  <w:p w:rsidR="00061060" w:rsidRPr="00375624" w:rsidRDefault="00061060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C5706B">
      <w:rPr>
        <w:rFonts w:ascii="Times New Roman" w:hAnsi="Times New Roman" w:cs="Times New Roman"/>
        <w:b/>
        <w:sz w:val="16"/>
      </w:rPr>
      <w:t>году</w:t>
    </w:r>
  </w:p>
  <w:p w:rsidR="00061060" w:rsidRDefault="00061060" w:rsidP="001173CF">
    <w:pPr>
      <w:pStyle w:val="a6"/>
    </w:pPr>
  </w:p>
  <w:p w:rsidR="00061060" w:rsidRDefault="00061060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EF" w:rsidRDefault="000A51EF" w:rsidP="00BA2ADE">
    <w:pPr>
      <w:pStyle w:val="a6"/>
      <w:framePr w:wrap="none" w:vAnchor="text" w:hAnchor="margin" w:xAlign="right" w:y="1"/>
      <w:rPr>
        <w:rStyle w:val="ab"/>
      </w:rPr>
    </w:pPr>
  </w:p>
  <w:p w:rsidR="00061060" w:rsidRDefault="00061060" w:rsidP="001173CF">
    <w:pPr>
      <w:pStyle w:val="a6"/>
    </w:pPr>
  </w:p>
  <w:p w:rsidR="00061060" w:rsidRDefault="0006106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Content>
      <w:p w:rsidR="00061060" w:rsidRDefault="00E2011F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61060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61060" w:rsidRDefault="00061060" w:rsidP="00904E5D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Content>
      <w:p w:rsidR="000A51EF" w:rsidRDefault="00E2011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0A51E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3E96">
          <w:rPr>
            <w:rStyle w:val="ab"/>
            <w:noProof/>
          </w:rPr>
          <w:t>52</w:t>
        </w:r>
        <w:r>
          <w:rPr>
            <w:rStyle w:val="ab"/>
          </w:rPr>
          <w:fldChar w:fldCharType="end"/>
        </w:r>
      </w:p>
    </w:sdtContent>
  </w:sdt>
  <w:p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:rsidR="00061060" w:rsidRDefault="00061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12" w:rsidRDefault="00F65B12" w:rsidP="004F4379">
      <w:r>
        <w:separator/>
      </w:r>
    </w:p>
  </w:footnote>
  <w:footnote w:type="continuationSeparator" w:id="0">
    <w:p w:rsidR="00F65B12" w:rsidRDefault="00F65B12" w:rsidP="004F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061060" w:rsidRDefault="00061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3E96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8754B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7E7A93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2011F"/>
    <w:rsid w:val="00E46548"/>
    <w:rsid w:val="00E54051"/>
    <w:rsid w:val="00E96622"/>
    <w:rsid w:val="00EB68B9"/>
    <w:rsid w:val="00EC714D"/>
    <w:rsid w:val="00ED20A2"/>
    <w:rsid w:val="00ED5D89"/>
    <w:rsid w:val="00F06859"/>
    <w:rsid w:val="00F119FC"/>
    <w:rsid w:val="00F374DF"/>
    <w:rsid w:val="00F65B12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E9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hyperlink" Target="mailto:albormotov@mail.ru" TargetMode="External"/><Relationship Id="rId39" Type="http://schemas.openxmlformats.org/officeDocument/2006/relationships/hyperlink" Target="https://yadi.sk/d/tO6eLYPIqnfi3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mailto:75let.region@gmail.com" TargetMode="External"/><Relationship Id="rId47" Type="http://schemas.openxmlformats.org/officeDocument/2006/relationships/hyperlink" Target="mailto:info.company@lbl.ru" TargetMode="External"/><Relationship Id="rId50" Type="http://schemas.openxmlformats.org/officeDocument/2006/relationships/footer" Target="footer4.xml"/><Relationship Id="rId7" Type="http://schemas.openxmlformats.org/officeDocument/2006/relationships/hyperlink" Target="mailto:albormotov@mail.ru" TargetMode="Externa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://www.sdiprojec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0" Type="http://schemas.openxmlformats.org/officeDocument/2006/relationships/hyperlink" Target="mailto:aponarin@gvozdika.org" TargetMode="External"/><Relationship Id="rId29" Type="http://schemas.openxmlformats.org/officeDocument/2006/relationships/hyperlink" Target="https://yadi.sk/d/tO6eLYPIqnfi3g" TargetMode="External"/><Relationship Id="rId41" Type="http://schemas.openxmlformats.org/officeDocument/2006/relationships/hyperlink" Target="https://yadi.sk/d/tO6eLYPIqnf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s://yadi.sk/d/tO6eLYPIqnfi3g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yadi.sk/d/tO6eLYPIqnfi3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warheroes.ru" TargetMode="External"/><Relationship Id="rId36" Type="http://schemas.openxmlformats.org/officeDocument/2006/relationships/hyperlink" Target="http://qrcoder.ru/" TargetMode="External"/><Relationship Id="rId49" Type="http://schemas.openxmlformats.org/officeDocument/2006/relationships/header" Target="header2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31" Type="http://schemas.openxmlformats.org/officeDocument/2006/relationships/hyperlink" Target="https://yadi.sk/d/tO6eLYPIqnfi3g" TargetMode="External"/><Relationship Id="rId44" Type="http://schemas.openxmlformats.org/officeDocument/2006/relationships/hyperlink" Target="https://www.youtube.com/channel/UCN4hLJbjo3Gk3ut2RztwNJQ?view_as=subscribe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yadi.sk/d/tO6eLYPIqnfi3g" TargetMode="External"/><Relationship Id="rId30" Type="http://schemas.openxmlformats.org/officeDocument/2006/relationships/hyperlink" Target="mailto:75let.region@gmail.com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https://yadi.sk/d/tO6eLYPIqnfi3g" TargetMode="External"/><Relationship Id="rId48" Type="http://schemas.openxmlformats.org/officeDocument/2006/relationships/hyperlink" Target="https://runetmir.com/chislennost-naseleniya-volgograda" TargetMode="External"/><Relationship Id="rId8" Type="http://schemas.openxmlformats.org/officeDocument/2006/relationships/hyperlink" Target="mailto:malushevaep@yandex.ru" TargetMode="External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13576</Words>
  <Characters>77388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1</cp:lastModifiedBy>
  <cp:revision>2</cp:revision>
  <cp:lastPrinted>2019-12-27T14:28:00Z</cp:lastPrinted>
  <dcterms:created xsi:type="dcterms:W3CDTF">2020-01-23T06:57:00Z</dcterms:created>
  <dcterms:modified xsi:type="dcterms:W3CDTF">2020-01-23T06:57:00Z</dcterms:modified>
</cp:coreProperties>
</file>